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tblpX="15812" w:tblpY="4519"/>
        <w:tblOverlap w:val="never"/>
        <w:tblW w:w="1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844" w:type="dxa"/>
          </w:tcPr>
          <w:p>
            <w:pPr>
              <w:pStyle w:val="2"/>
              <w:jc w:val="center"/>
              <w:rPr>
                <w:rFonts w:hint="eastAsia" w:ascii="方正小标宋_GBK" w:hAnsi="方正小标宋_GBK" w:eastAsia="方正小标宋_GBK"/>
                <w:b w:val="0"/>
                <w:bCs w:val="0"/>
                <w:sz w:val="36"/>
                <w:szCs w:val="36"/>
                <w:vertAlign w:val="baseline"/>
              </w:rPr>
            </w:pPr>
          </w:p>
        </w:tc>
      </w:tr>
    </w:tbl>
    <w:tbl>
      <w:tblPr>
        <w:tblStyle w:val="5"/>
        <w:tblpPr w:leftFromText="180" w:rightFromText="180" w:vertAnchor="text" w:tblpX="15812" w:tblpY="4859"/>
        <w:tblOverlap w:val="never"/>
        <w:tblW w:w="1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844" w:type="dxa"/>
          </w:tcPr>
          <w:p>
            <w:pPr>
              <w:pStyle w:val="2"/>
              <w:jc w:val="center"/>
              <w:rPr>
                <w:rFonts w:hint="eastAsia" w:ascii="方正小标宋_GBK" w:hAnsi="方正小标宋_GBK" w:eastAsia="方正小标宋_GBK"/>
                <w:b w:val="0"/>
                <w:bCs w:val="0"/>
                <w:sz w:val="36"/>
                <w:szCs w:val="3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844" w:type="dxa"/>
          </w:tcPr>
          <w:p>
            <w:pPr>
              <w:pStyle w:val="2"/>
              <w:jc w:val="center"/>
              <w:rPr>
                <w:rFonts w:hint="eastAsia" w:ascii="方正小标宋_GBK" w:hAnsi="方正小标宋_GBK" w:eastAsia="方正小标宋_GBK"/>
                <w:b w:val="0"/>
                <w:bCs w:val="0"/>
                <w:sz w:val="36"/>
                <w:szCs w:val="3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844" w:type="dxa"/>
          </w:tcPr>
          <w:p>
            <w:pPr>
              <w:pStyle w:val="2"/>
              <w:jc w:val="center"/>
              <w:rPr>
                <w:rFonts w:hint="eastAsia" w:ascii="方正小标宋_GBK" w:hAnsi="方正小标宋_GBK" w:eastAsia="方正小标宋_GBK"/>
                <w:b w:val="0"/>
                <w:bCs w:val="0"/>
                <w:sz w:val="36"/>
                <w:szCs w:val="36"/>
                <w:vertAlign w:val="baseline"/>
              </w:rPr>
            </w:pPr>
          </w:p>
        </w:tc>
      </w:tr>
    </w:tbl>
    <w:p>
      <w:pPr>
        <w:pStyle w:val="2"/>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lang w:val="en-US" w:eastAsia="zh-CN"/>
        </w:rPr>
        <w:t>准格尔旗</w:t>
      </w:r>
      <w:r>
        <w:rPr>
          <w:rFonts w:hint="eastAsia" w:ascii="方正小标宋简体" w:hAnsi="方正小标宋简体" w:eastAsia="方正小标宋简体" w:cs="方正小标宋简体"/>
          <w:b w:val="0"/>
          <w:bCs w:val="0"/>
          <w:sz w:val="36"/>
          <w:szCs w:val="36"/>
          <w:lang w:val="en-US" w:eastAsia="zh-CN"/>
        </w:rPr>
        <w:t>民族事务委员会</w:t>
      </w:r>
      <w:r>
        <w:rPr>
          <w:rFonts w:hint="eastAsia" w:ascii="方正小标宋简体" w:hAnsi="方正小标宋简体" w:eastAsia="方正小标宋简体" w:cs="方正小标宋简体"/>
          <w:b w:val="0"/>
          <w:bCs w:val="0"/>
          <w:sz w:val="36"/>
          <w:szCs w:val="36"/>
        </w:rPr>
        <w:t>政务公开事项标准目录（2020</w:t>
      </w:r>
      <w:r>
        <w:rPr>
          <w:rFonts w:hint="eastAsia" w:ascii="方正小标宋简体" w:hAnsi="方正小标宋简体" w:eastAsia="方正小标宋简体" w:cs="方正小标宋简体"/>
          <w:b w:val="0"/>
          <w:bCs w:val="0"/>
          <w:sz w:val="36"/>
          <w:szCs w:val="36"/>
          <w:lang w:val="en-US" w:eastAsia="zh-CN"/>
        </w:rPr>
        <w:t>机关</w:t>
      </w:r>
      <w:r>
        <w:rPr>
          <w:rFonts w:hint="eastAsia" w:ascii="方正小标宋简体" w:hAnsi="方正小标宋简体" w:eastAsia="方正小标宋简体" w:cs="方正小标宋简体"/>
          <w:b w:val="0"/>
          <w:bCs w:val="0"/>
          <w:sz w:val="36"/>
          <w:szCs w:val="36"/>
        </w:rPr>
        <w:t>版）</w:t>
      </w:r>
    </w:p>
    <w:tbl>
      <w:tblPr>
        <w:tblStyle w:val="4"/>
        <w:tblpPr w:leftFromText="180" w:rightFromText="180" w:vertAnchor="text" w:horzAnchor="page" w:tblpX="1449" w:tblpY="150"/>
        <w:tblOverlap w:val="never"/>
        <w:tblW w:w="143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683"/>
        <w:gridCol w:w="757"/>
        <w:gridCol w:w="2340"/>
        <w:gridCol w:w="2520"/>
        <w:gridCol w:w="1620"/>
        <w:gridCol w:w="1544"/>
        <w:gridCol w:w="1516"/>
        <w:gridCol w:w="540"/>
        <w:gridCol w:w="709"/>
        <w:gridCol w:w="551"/>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440"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544"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主体</w:t>
            </w:r>
          </w:p>
        </w:tc>
        <w:tc>
          <w:tcPr>
            <w:tcW w:w="1516" w:type="dxa"/>
            <w:vMerge w:val="restart"/>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w:t>
            </w:r>
          </w:p>
          <w:p>
            <w:pPr>
              <w:widowControl/>
              <w:jc w:val="center"/>
              <w:rPr>
                <w:rFonts w:hint="eastAsia" w:ascii="黑体" w:hAnsi="宋体" w:eastAsia="黑体" w:cs="宋体"/>
                <w:kern w:val="0"/>
                <w:sz w:val="22"/>
              </w:rPr>
            </w:pPr>
            <w:r>
              <w:rPr>
                <w:rFonts w:hint="eastAsia" w:ascii="黑体" w:hAnsi="宋体" w:eastAsia="黑体" w:cs="宋体"/>
                <w:kern w:val="0"/>
                <w:sz w:val="22"/>
              </w:rPr>
              <w:t>和载体</w:t>
            </w:r>
          </w:p>
        </w:tc>
        <w:tc>
          <w:tcPr>
            <w:tcW w:w="1249"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613"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hint="eastAsia" w:ascii="黑体" w:hAnsi="Times New Roman" w:eastAsia="黑体"/>
                <w:color w:val="000000"/>
                <w:kern w:val="0"/>
                <w:sz w:val="22"/>
              </w:rPr>
            </w:pPr>
          </w:p>
        </w:tc>
        <w:tc>
          <w:tcPr>
            <w:tcW w:w="683"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757"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hint="eastAsia" w:ascii="黑体" w:hAnsi="宋体" w:eastAsia="黑体" w:cs="宋体"/>
                <w:color w:val="000000"/>
                <w:kern w:val="0"/>
                <w:sz w:val="22"/>
              </w:rPr>
            </w:pPr>
          </w:p>
        </w:tc>
        <w:tc>
          <w:tcPr>
            <w:tcW w:w="2520" w:type="dxa"/>
            <w:vMerge w:val="continue"/>
            <w:vAlign w:val="center"/>
          </w:tcPr>
          <w:p>
            <w:pPr>
              <w:widowControl/>
              <w:jc w:val="left"/>
              <w:rPr>
                <w:rFonts w:hint="eastAsia" w:ascii="黑体" w:hAnsi="宋体" w:eastAsia="黑体" w:cs="宋体"/>
                <w:color w:val="000000"/>
                <w:kern w:val="0"/>
                <w:sz w:val="22"/>
              </w:rPr>
            </w:pPr>
          </w:p>
        </w:tc>
        <w:tc>
          <w:tcPr>
            <w:tcW w:w="1620" w:type="dxa"/>
            <w:vMerge w:val="continue"/>
            <w:vAlign w:val="center"/>
          </w:tcPr>
          <w:p>
            <w:pPr>
              <w:widowControl/>
              <w:jc w:val="left"/>
              <w:rPr>
                <w:rFonts w:hint="eastAsia" w:ascii="黑体" w:hAnsi="宋体" w:eastAsia="黑体" w:cs="宋体"/>
                <w:color w:val="000000"/>
                <w:kern w:val="0"/>
                <w:sz w:val="22"/>
              </w:rPr>
            </w:pPr>
          </w:p>
        </w:tc>
        <w:tc>
          <w:tcPr>
            <w:tcW w:w="1544" w:type="dxa"/>
            <w:vMerge w:val="continue"/>
            <w:vAlign w:val="center"/>
          </w:tcPr>
          <w:p>
            <w:pPr>
              <w:widowControl/>
              <w:jc w:val="left"/>
              <w:rPr>
                <w:rFonts w:hint="eastAsia" w:ascii="黑体" w:hAnsi="宋体" w:eastAsia="黑体" w:cs="宋体"/>
                <w:color w:val="000000"/>
                <w:kern w:val="0"/>
                <w:sz w:val="22"/>
              </w:rPr>
            </w:pPr>
          </w:p>
        </w:tc>
        <w:tc>
          <w:tcPr>
            <w:tcW w:w="1516" w:type="dxa"/>
            <w:vMerge w:val="continue"/>
            <w:vAlign w:val="center"/>
          </w:tcPr>
          <w:p>
            <w:pPr>
              <w:widowControl/>
              <w:jc w:val="left"/>
              <w:rPr>
                <w:rFonts w:hint="eastAsia" w:ascii="黑体" w:hAnsi="宋体" w:eastAsia="黑体" w:cs="宋体"/>
                <w:kern w:val="0"/>
                <w:sz w:val="22"/>
              </w:rPr>
            </w:pPr>
          </w:p>
        </w:tc>
        <w:tc>
          <w:tcPr>
            <w:tcW w:w="54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1062"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7" w:hRule="exact"/>
        </w:trPr>
        <w:tc>
          <w:tcPr>
            <w:tcW w:w="540" w:type="dxa"/>
            <w:vMerge w:val="restart"/>
            <w:shd w:val="clear" w:color="auto" w:fill="auto"/>
            <w:vAlign w:val="center"/>
          </w:tcPr>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both"/>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tc>
        <w:tc>
          <w:tcPr>
            <w:tcW w:w="683" w:type="dxa"/>
            <w:vMerge w:val="restart"/>
            <w:shd w:val="clear" w:color="auto" w:fill="auto"/>
            <w:vAlign w:val="center"/>
          </w:tcPr>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机关日常运转和综合协调及政务公开工作</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sz w:val="36"/>
              </w:rPr>
              <mc:AlternateContent>
                <mc:Choice Requires="wps">
                  <w:drawing>
                    <wp:anchor distT="0" distB="0" distL="114300" distR="114300" simplePos="0" relativeHeight="251659264" behindDoc="1" locked="0" layoutInCell="1" allowOverlap="1">
                      <wp:simplePos x="0" y="0"/>
                      <wp:positionH relativeFrom="column">
                        <wp:posOffset>-292735</wp:posOffset>
                      </wp:positionH>
                      <wp:positionV relativeFrom="paragraph">
                        <wp:posOffset>-652145</wp:posOffset>
                      </wp:positionV>
                      <wp:extent cx="2277110" cy="692785"/>
                      <wp:effectExtent l="51435" t="300355" r="52705" b="302260"/>
                      <wp:wrapNone/>
                      <wp:docPr id="2" name="文本框 2"/>
                      <wp:cNvGraphicFramePr/>
                      <a:graphic xmlns:a="http://schemas.openxmlformats.org/drawingml/2006/main">
                        <a:graphicData uri="http://schemas.microsoft.com/office/word/2010/wordprocessingShape">
                          <wps:wsp>
                            <wps:cNvSpPr txBox="1"/>
                            <wps:spPr>
                              <a:xfrm rot="20640000">
                                <a:off x="0" y="0"/>
                                <a:ext cx="2277110" cy="6927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b/>
                                      <w:bCs/>
                                      <w:color w:val="FF0000"/>
                                      <w:sz w:val="44"/>
                                      <w:szCs w:val="44"/>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05pt;margin-top:-51.35pt;height:54.55pt;width:179.3pt;rotation:-1048576f;z-index:-251657216;mso-width-relative:page;mso-height-relative:page;" fillcolor="#FFFFFF [3201]" filled="t" stroked="f" coordsize="21600,21600" o:gfxdata="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&#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GFMURrbAAAACgEAAA8AAAAAAAAAAQAgAAAAIgAAAGRy&#10;cy9kb3ducmV2LnhtbFBLAQIUABQAAAAIAIdO4kC3kYSWOwIAAFAEAAAOAAAAAAAAAAEAIAAAACoB&#10;AABkcnMvZTJvRG9jLnhtbFBLBQYAAAAABgAGAFkBAADXBQAAAAA=&#10;">
                      <v:fill on="t" focussize="0,0"/>
                      <v:stroke on="f" weight="0.5pt"/>
                      <v:imagedata o:title=""/>
                      <o:lock v:ext="edit" aspectratio="f"/>
                      <v:textbox>
                        <w:txbxContent>
                          <w:p>
                            <w:pPr>
                              <w:rPr>
                                <w:rFonts w:hint="default" w:eastAsia="宋体"/>
                                <w:b/>
                                <w:bCs/>
                                <w:color w:val="FF0000"/>
                                <w:sz w:val="44"/>
                                <w:szCs w:val="44"/>
                                <w:lang w:val="en-US" w:eastAsia="zh-CN"/>
                              </w:rPr>
                            </w:pPr>
                          </w:p>
                        </w:txbxContent>
                      </v:textbox>
                    </v:shape>
                  </w:pict>
                </mc:Fallback>
              </mc:AlternateConten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机关日常运转和综合协调及政务公开工作</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lang w:val="en-US" w:eastAsia="zh-CN"/>
              </w:rPr>
            </w:pPr>
          </w:p>
          <w:p>
            <w:pPr>
              <w:jc w:val="center"/>
              <w:rPr>
                <w:rFonts w:hint="eastAsia" w:ascii="仿宋_GB2312" w:hAnsi="宋体" w:eastAsia="仿宋_GB2312"/>
                <w:color w:val="000000"/>
                <w:sz w:val="18"/>
                <w:szCs w:val="18"/>
                <w:lang w:val="en-US" w:eastAsia="zh-CN"/>
              </w:rPr>
            </w:pPr>
          </w:p>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 xml:space="preserve">      </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机关日常运转和综合协调及政务公开工作</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both"/>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机关日常运转和综合协调及政务公开工作</w:t>
            </w:r>
          </w:p>
        </w:tc>
        <w:tc>
          <w:tcPr>
            <w:tcW w:w="757" w:type="dxa"/>
            <w:shd w:val="clear" w:color="auto" w:fill="auto"/>
            <w:vAlign w:val="center"/>
          </w:tcPr>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机构</w:t>
            </w:r>
          </w:p>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职能</w:t>
            </w: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机关职能、机构设置、办公地址、联系方式、办公时间、负责人姓名等</w:t>
            </w:r>
          </w:p>
        </w:tc>
        <w:tc>
          <w:tcPr>
            <w:tcW w:w="252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544" w:type="dxa"/>
            <w:shd w:val="clear" w:color="auto" w:fill="auto"/>
            <w:vAlign w:val="center"/>
          </w:tcPr>
          <w:p>
            <w:pPr>
              <w:rPr>
                <w:rFonts w:hint="default" w:ascii="仿宋_GB2312" w:hAnsi="仿宋" w:eastAsia="仿宋_GB2312" w:cs="宋体"/>
                <w:color w:val="000000"/>
                <w:sz w:val="18"/>
                <w:szCs w:val="18"/>
                <w:lang w:val="en-US" w:eastAsia="zh-CN"/>
              </w:rPr>
            </w:pPr>
            <w:r>
              <w:rPr>
                <w:rFonts w:hint="eastAsia" w:ascii="仿宋_GB2312" w:hAnsi="仿宋" w:eastAsia="仿宋_GB2312"/>
                <w:color w:val="000000"/>
                <w:sz w:val="18"/>
                <w:szCs w:val="18"/>
                <w:lang w:val="en-US" w:eastAsia="zh-CN"/>
              </w:rPr>
              <w:t>准格尔旗民族事务委员会</w:t>
            </w:r>
          </w:p>
        </w:tc>
        <w:tc>
          <w:tcPr>
            <w:tcW w:w="1516"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tc>
        <w:tc>
          <w:tcPr>
            <w:tcW w:w="540"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1" w:hRule="exac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政府信息公开指南</w:t>
            </w:r>
          </w:p>
        </w:tc>
        <w:tc>
          <w:tcPr>
            <w:tcW w:w="23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政府信息的分类、编排体系、获取方式、政府信息公开工作部门地址、联系电话、传真号码、互联网联系方式等</w:t>
            </w:r>
          </w:p>
          <w:p>
            <w:pPr>
              <w:rPr>
                <w:rFonts w:hint="eastAsia" w:ascii="仿宋_GB2312" w:hAnsi="宋体" w:eastAsia="仿宋_GB2312" w:cs="宋体"/>
                <w:color w:val="000000"/>
                <w:kern w:val="2"/>
                <w:sz w:val="18"/>
                <w:szCs w:val="18"/>
                <w:lang w:val="en-US" w:eastAsia="zh-CN" w:bidi="ar-SA"/>
              </w:rPr>
            </w:pPr>
          </w:p>
        </w:tc>
        <w:tc>
          <w:tcPr>
            <w:tcW w:w="252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信息形成或者变更之日起20个工作日内</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lang w:val="en-US" w:eastAsia="zh-CN"/>
              </w:rPr>
              <w:t>准格尔旗民族事务委员会</w:t>
            </w:r>
          </w:p>
        </w:tc>
        <w:tc>
          <w:tcPr>
            <w:tcW w:w="1516" w:type="dxa"/>
            <w:shd w:val="clear" w:color="auto" w:fill="auto"/>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exac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rPr>
              <w:t>政务公开制度</w:t>
            </w:r>
          </w:p>
        </w:tc>
        <w:tc>
          <w:tcPr>
            <w:tcW w:w="234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全文公开</w:t>
            </w:r>
          </w:p>
        </w:tc>
        <w:tc>
          <w:tcPr>
            <w:tcW w:w="252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信息形成或者变更之日起20个工作日内</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lang w:val="en-US" w:eastAsia="zh-CN"/>
              </w:rPr>
              <w:t>准格尔旗民族事务委员会</w:t>
            </w:r>
          </w:p>
        </w:tc>
        <w:tc>
          <w:tcPr>
            <w:tcW w:w="1516" w:type="dxa"/>
            <w:shd w:val="clear" w:color="auto" w:fill="auto"/>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0" w:hRule="exac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政府信息公开年度报告</w:t>
            </w:r>
          </w:p>
        </w:tc>
        <w:tc>
          <w:tcPr>
            <w:tcW w:w="2340" w:type="dxa"/>
            <w:shd w:val="clear" w:color="auto" w:fill="auto"/>
            <w:vAlign w:val="center"/>
          </w:tcPr>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总体情况（包括年度政务公开要点落实情况）；主动公开政府信息的情况(表格）；收到和处理政府信息公开申请的情况（表格）；因政府信息公开工作被申请行政复议、提起行政诉讼的情况（表格）；存在的主要问题及改进情况；其他需要报告的事项等</w:t>
            </w: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tc>
        <w:tc>
          <w:tcPr>
            <w:tcW w:w="2520" w:type="dxa"/>
            <w:shd w:val="clear" w:color="auto" w:fill="auto"/>
            <w:vAlign w:val="center"/>
          </w:tcPr>
          <w:p>
            <w:pP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、国务院办公厅政府信息与政务公开办公室关于政府信息公开工作年度报告有关事项的通知（国办公开办函〔2019〕60号）《</w:t>
            </w:r>
            <w:r>
              <w:rPr>
                <w:rFonts w:hint="eastAsia" w:ascii="仿宋_GB2312" w:hAnsi="宋体" w:eastAsia="仿宋_GB2312"/>
                <w:color w:val="000000"/>
                <w:sz w:val="18"/>
                <w:szCs w:val="18"/>
                <w:lang w:val="en-US" w:eastAsia="zh-CN"/>
              </w:rPr>
              <w:t>国务院2020年政务公开工作要点》</w:t>
            </w:r>
          </w:p>
        </w:tc>
        <w:tc>
          <w:tcPr>
            <w:tcW w:w="1620"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1月31日之前公</w:t>
            </w:r>
            <w:r>
              <w:rPr>
                <w:rFonts w:hint="eastAsia" w:ascii="仿宋_GB2312" w:hAnsi="仿宋" w:eastAsia="仿宋_GB2312"/>
                <w:color w:val="000000"/>
                <w:sz w:val="18"/>
                <w:szCs w:val="18"/>
                <w:lang w:val="en-US" w:eastAsia="zh-CN"/>
              </w:rPr>
              <w:t>布</w:t>
            </w:r>
            <w:r>
              <w:rPr>
                <w:rFonts w:hint="eastAsia" w:ascii="仿宋_GB2312" w:hAnsi="仿宋" w:eastAsia="仿宋_GB2312"/>
                <w:color w:val="000000"/>
                <w:sz w:val="18"/>
                <w:szCs w:val="18"/>
              </w:rPr>
              <w:t>上一年度报告</w:t>
            </w:r>
          </w:p>
        </w:tc>
        <w:tc>
          <w:tcPr>
            <w:tcW w:w="1544" w:type="dxa"/>
            <w:shd w:val="clear" w:color="auto" w:fill="auto"/>
            <w:vAlign w:val="center"/>
          </w:tcPr>
          <w:p>
            <w:pPr>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lang w:val="en-US" w:eastAsia="zh-CN"/>
              </w:rPr>
              <w:t>准格尔旗民族事务委员会</w:t>
            </w:r>
          </w:p>
        </w:tc>
        <w:tc>
          <w:tcPr>
            <w:tcW w:w="1516"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val="en-US" w:eastAsia="zh-CN"/>
              </w:rPr>
              <w:t>微信公众号</w:t>
            </w:r>
            <w:r>
              <w:rPr>
                <w:rFonts w:hint="eastAsia" w:ascii="仿宋_GB2312" w:hAnsi="仿宋" w:eastAsia="仿宋_GB2312"/>
                <w:color w:val="000000"/>
                <w:sz w:val="18"/>
                <w:szCs w:val="18"/>
              </w:rPr>
              <w:t xml:space="preserve"> </w:t>
            </w:r>
          </w:p>
          <w:p>
            <w:pPr>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p>
            <w:pPr>
              <w:jc w:val="left"/>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纸质媒体</w:t>
            </w: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政府信息公开目录</w:t>
            </w:r>
          </w:p>
        </w:tc>
        <w:tc>
          <w:tcPr>
            <w:tcW w:w="2340" w:type="dxa"/>
            <w:shd w:val="clear" w:color="auto" w:fill="auto"/>
            <w:vAlign w:val="center"/>
          </w:tcPr>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全文公开，包括索引、名称、文号、内容概述、生成日期等；</w:t>
            </w:r>
          </w:p>
        </w:tc>
        <w:tc>
          <w:tcPr>
            <w:tcW w:w="252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信息形成或者变更之日起20个工作日内</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lang w:val="en-US" w:eastAsia="zh-CN"/>
              </w:rPr>
              <w:t>准格尔旗民族事务委员会</w:t>
            </w:r>
          </w:p>
        </w:tc>
        <w:tc>
          <w:tcPr>
            <w:tcW w:w="1516"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val="en-US" w:eastAsia="zh-CN"/>
              </w:rPr>
              <w:t>微信公众号</w:t>
            </w:r>
            <w:r>
              <w:rPr>
                <w:rFonts w:hint="eastAsia" w:ascii="仿宋_GB2312" w:hAnsi="仿宋" w:eastAsia="仿宋_GB2312"/>
                <w:color w:val="000000"/>
                <w:sz w:val="18"/>
                <w:szCs w:val="18"/>
              </w:rPr>
              <w:t xml:space="preserve">  </w:t>
            </w:r>
          </w:p>
          <w:p>
            <w:pPr>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sz w:val="18"/>
                <w:szCs w:val="18"/>
              </w:rPr>
            </w:pPr>
          </w:p>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1" w:hRule="exac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default"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依申请公开告知事项</w:t>
            </w:r>
          </w:p>
        </w:tc>
        <w:tc>
          <w:tcPr>
            <w:tcW w:w="2340" w:type="dxa"/>
            <w:shd w:val="clear" w:color="auto" w:fill="auto"/>
            <w:vAlign w:val="center"/>
          </w:tcPr>
          <w:p>
            <w:pPr>
              <w:rPr>
                <w:rFonts w:hint="eastAsia" w:ascii="仿宋_GB2312" w:hAnsi="宋体" w:eastAsia="仿宋_GB2312" w:cs="宋体"/>
                <w:color w:val="000000"/>
                <w:sz w:val="18"/>
                <w:szCs w:val="18"/>
                <w:lang w:val="en-US" w:eastAsia="zh-CN"/>
              </w:rPr>
            </w:pPr>
          </w:p>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依申请公开受理表、告知书、受理流程、公开电话等</w:t>
            </w:r>
          </w:p>
          <w:p>
            <w:pPr>
              <w:rPr>
                <w:rFonts w:hint="eastAsia" w:ascii="仿宋_GB2312" w:hAnsi="宋体" w:eastAsia="仿宋_GB2312" w:cs="宋体"/>
                <w:color w:val="000000"/>
                <w:sz w:val="18"/>
                <w:szCs w:val="18"/>
                <w:lang w:val="en-US" w:eastAsia="zh-CN"/>
              </w:rPr>
            </w:pPr>
          </w:p>
        </w:tc>
        <w:tc>
          <w:tcPr>
            <w:tcW w:w="252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default" w:ascii="仿宋_GB2312" w:hAnsi="仿宋" w:eastAsia="仿宋_GB2312"/>
                <w:color w:val="000000"/>
                <w:sz w:val="18"/>
                <w:szCs w:val="18"/>
                <w:lang w:val="en-US" w:eastAsia="zh-CN"/>
              </w:rPr>
            </w:pPr>
            <w:r>
              <w:rPr>
                <w:rFonts w:hint="eastAsia" w:ascii="仿宋_GB2312" w:hAnsi="仿宋" w:eastAsia="仿宋_GB2312"/>
                <w:color w:val="000000"/>
                <w:sz w:val="18"/>
                <w:szCs w:val="18"/>
                <w:lang w:val="en-US" w:eastAsia="zh-CN"/>
              </w:rPr>
              <w:t>实时公开</w:t>
            </w:r>
          </w:p>
        </w:tc>
        <w:tc>
          <w:tcPr>
            <w:tcW w:w="1544" w:type="dxa"/>
            <w:shd w:val="clear" w:color="auto" w:fill="auto"/>
            <w:vAlign w:val="center"/>
          </w:tcPr>
          <w:p>
            <w:pPr>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lang w:val="en-US" w:eastAsia="zh-CN"/>
              </w:rPr>
              <w:t>准格尔旗民族事务委员会</w:t>
            </w:r>
          </w:p>
        </w:tc>
        <w:tc>
          <w:tcPr>
            <w:tcW w:w="1516"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3" w:hRule="exac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依申请公开</w:t>
            </w:r>
          </w:p>
        </w:tc>
        <w:tc>
          <w:tcPr>
            <w:tcW w:w="234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除本政机关主动公开的政府信息外，其他信息。</w:t>
            </w:r>
          </w:p>
        </w:tc>
        <w:tc>
          <w:tcPr>
            <w:tcW w:w="2520" w:type="dxa"/>
            <w:shd w:val="clear" w:color="auto" w:fill="auto"/>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s="Times New Roman"/>
                <w:color w:val="000000"/>
                <w:kern w:val="2"/>
                <w:sz w:val="18"/>
                <w:szCs w:val="18"/>
                <w:lang w:val="en-US" w:eastAsia="zh-CN" w:bidi="ar-SA"/>
              </w:rPr>
              <w:t>能够当场答复的，应当当场予以答复；不能当场答复的，应当自收到申请之日起20个工作日内予以答复；需要延长答复期限的，应当经政府信息公开工作机构负责人同意并告知申请人，延长的期限最长不得超过20个工作日。</w:t>
            </w:r>
          </w:p>
        </w:tc>
        <w:tc>
          <w:tcPr>
            <w:tcW w:w="1544" w:type="dxa"/>
            <w:shd w:val="clear" w:color="auto" w:fill="auto"/>
            <w:vAlign w:val="center"/>
          </w:tcPr>
          <w:p>
            <w:pPr>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olor w:val="000000"/>
                <w:sz w:val="18"/>
                <w:szCs w:val="18"/>
                <w:lang w:val="en-US" w:eastAsia="zh-CN"/>
              </w:rPr>
              <w:t>准格尔旗民族事务委员会</w:t>
            </w:r>
          </w:p>
        </w:tc>
        <w:tc>
          <w:tcPr>
            <w:tcW w:w="1516"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default" w:ascii="仿宋_GB2312" w:hAnsi="仿宋" w:eastAsia="仿宋_GB2312"/>
                <w:color w:val="000000"/>
                <w:sz w:val="18"/>
                <w:szCs w:val="18"/>
                <w:lang w:val="en-US"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lang w:val="en-US" w:eastAsia="zh-CN"/>
              </w:rPr>
              <w:t>/办公现场</w:t>
            </w:r>
          </w:p>
          <w:p>
            <w:pPr>
              <w:rPr>
                <w:rFonts w:hint="default" w:ascii="仿宋_GB2312" w:hAnsi="仿宋" w:eastAsia="仿宋_GB2312"/>
                <w:color w:val="000000"/>
                <w:sz w:val="18"/>
                <w:szCs w:val="18"/>
                <w:lang w:val="en-US"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val="en-US" w:eastAsia="zh-CN"/>
              </w:rPr>
              <w:t>邮政EMS</w:t>
            </w:r>
          </w:p>
          <w:p>
            <w:pPr>
              <w:jc w:val="left"/>
              <w:rPr>
                <w:rFonts w:hint="eastAsia" w:ascii="仿宋_GB2312" w:hAnsi="仿宋" w:eastAsia="仿宋_GB2312" w:cs="Times New Roman"/>
                <w:color w:val="000000"/>
                <w:kern w:val="2"/>
                <w:sz w:val="18"/>
                <w:szCs w:val="18"/>
                <w:lang w:val="en-US" w:eastAsia="zh-CN" w:bidi="ar-SA"/>
              </w:rPr>
            </w:pP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c>
          <w:tcPr>
            <w:tcW w:w="1062"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Merge w:val="restart"/>
            <w:shd w:val="clear" w:color="auto" w:fill="auto"/>
            <w:vAlign w:val="center"/>
          </w:tcPr>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部门</w:t>
            </w: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预算</w:t>
            </w: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部门</w:t>
            </w: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预算</w:t>
            </w: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tc>
        <w:tc>
          <w:tcPr>
            <w:tcW w:w="2340" w:type="dxa"/>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2520" w:type="dxa"/>
            <w:vMerge w:val="restart"/>
            <w:shd w:val="clear" w:color="auto" w:fill="auto"/>
            <w:vAlign w:val="center"/>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 xml:space="preserve">  </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lang w:val="en-US" w:eastAsia="zh-CN"/>
              </w:rPr>
            </w:pPr>
          </w:p>
        </w:tc>
        <w:tc>
          <w:tcPr>
            <w:tcW w:w="1620" w:type="dxa"/>
            <w:vMerge w:val="restart"/>
            <w:shd w:val="clear" w:color="auto" w:fill="auto"/>
            <w:vAlign w:val="center"/>
          </w:tcPr>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 xml:space="preserve"> </w:t>
            </w: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lang w:val="en-US" w:eastAsia="zh-CN"/>
              </w:rPr>
            </w:pPr>
          </w:p>
        </w:tc>
        <w:tc>
          <w:tcPr>
            <w:tcW w:w="1544" w:type="dxa"/>
            <w:vMerge w:val="restart"/>
            <w:shd w:val="clear" w:color="auto" w:fill="auto"/>
            <w:vAlign w:val="center"/>
          </w:tcPr>
          <w:p>
            <w:pPr>
              <w:widowControl/>
              <w:textAlignment w:val="center"/>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lang w:val="en-US" w:eastAsia="zh-CN"/>
              </w:rPr>
              <w:t>准格尔旗民族事务委员会</w:t>
            </w:r>
          </w:p>
          <w:p>
            <w:pPr>
              <w:widowControl/>
              <w:textAlignment w:val="center"/>
              <w:rPr>
                <w:rFonts w:hint="eastAsia" w:ascii="仿宋_GB2312" w:hAnsi="仿宋" w:eastAsia="仿宋_GB2312"/>
                <w:color w:val="000000"/>
                <w:sz w:val="18"/>
                <w:szCs w:val="18"/>
                <w:lang w:val="en-US" w:eastAsia="zh-CN"/>
              </w:rPr>
            </w:pPr>
          </w:p>
        </w:tc>
        <w:tc>
          <w:tcPr>
            <w:tcW w:w="1516" w:type="dxa"/>
            <w:vMerge w:val="restart"/>
            <w:shd w:val="clear" w:color="auto" w:fill="auto"/>
            <w:vAlign w:val="center"/>
          </w:tcPr>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公告公示栏</w:t>
            </w: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公告公示栏</w:t>
            </w: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tc>
        <w:tc>
          <w:tcPr>
            <w:tcW w:w="540" w:type="dxa"/>
            <w:vMerge w:val="restart"/>
            <w:shd w:val="clear" w:color="auto" w:fill="auto"/>
            <w:vAlign w:val="center"/>
          </w:tcPr>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p>
            <w:pPr>
              <w:widowControl/>
              <w:jc w:val="center"/>
              <w:textAlignment w:val="center"/>
              <w:rPr>
                <w:rFonts w:hint="eastAsia" w:ascii="仿宋_GB2312" w:hAnsi="宋体" w:eastAsia="仿宋_GB2312"/>
                <w:color w:val="000000"/>
                <w:sz w:val="18"/>
                <w:szCs w:val="18"/>
                <w:lang w:val="en-US" w:eastAsia="zh-CN"/>
              </w:rPr>
            </w:pPr>
          </w:p>
        </w:tc>
        <w:tc>
          <w:tcPr>
            <w:tcW w:w="709" w:type="dxa"/>
            <w:vMerge w:val="restart"/>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vMerge w:val="restart"/>
            <w:shd w:val="clear" w:color="auto" w:fill="auto"/>
            <w:vAlign w:val="center"/>
          </w:tcPr>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p>
        </w:tc>
        <w:tc>
          <w:tcPr>
            <w:tcW w:w="1062" w:type="dxa"/>
            <w:vMerge w:val="restart"/>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6" w:hRule="atLeas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Merge w:val="continue"/>
            <w:shd w:val="clear" w:color="auto" w:fill="auto"/>
            <w:vAlign w:val="center"/>
          </w:tcPr>
          <w:p>
            <w:pPr>
              <w:rPr>
                <w:rFonts w:hint="eastAsia" w:ascii="仿宋_GB2312" w:hAnsi="宋体" w:eastAsia="仿宋_GB2312" w:cs="宋体"/>
                <w:color w:val="000000"/>
                <w:sz w:val="18"/>
                <w:szCs w:val="18"/>
                <w:lang w:val="en-US" w:eastAsia="zh-CN"/>
              </w:rPr>
            </w:pPr>
          </w:p>
        </w:tc>
        <w:tc>
          <w:tcPr>
            <w:tcW w:w="2340" w:type="dxa"/>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2520" w:type="dxa"/>
            <w:vMerge w:val="continue"/>
            <w:shd w:val="clear" w:color="auto" w:fill="auto"/>
            <w:vAlign w:val="center"/>
          </w:tcPr>
          <w:p>
            <w:pPr>
              <w:rPr>
                <w:rFonts w:hint="eastAsia" w:ascii="仿宋_GB2312" w:hAnsi="宋体" w:eastAsia="仿宋_GB2312"/>
                <w:color w:val="000000"/>
                <w:sz w:val="18"/>
                <w:szCs w:val="18"/>
              </w:rPr>
            </w:pPr>
          </w:p>
        </w:tc>
        <w:tc>
          <w:tcPr>
            <w:tcW w:w="1620" w:type="dxa"/>
            <w:vMerge w:val="continue"/>
            <w:shd w:val="clear" w:color="auto" w:fill="auto"/>
            <w:vAlign w:val="center"/>
          </w:tcPr>
          <w:p>
            <w:pPr>
              <w:rPr>
                <w:rFonts w:hint="eastAsia" w:ascii="仿宋_GB2312" w:hAnsi="仿宋" w:eastAsia="仿宋_GB2312"/>
                <w:color w:val="000000"/>
                <w:sz w:val="18"/>
                <w:szCs w:val="18"/>
              </w:rPr>
            </w:pPr>
          </w:p>
        </w:tc>
        <w:tc>
          <w:tcPr>
            <w:tcW w:w="1544" w:type="dxa"/>
            <w:vMerge w:val="continue"/>
            <w:shd w:val="clear" w:color="auto" w:fill="auto"/>
            <w:vAlign w:val="center"/>
          </w:tcPr>
          <w:p>
            <w:pPr>
              <w:rPr>
                <w:rFonts w:hint="eastAsia" w:ascii="仿宋_GB2312" w:hAnsi="仿宋" w:eastAsia="仿宋_GB2312"/>
                <w:color w:val="000000"/>
                <w:sz w:val="18"/>
                <w:szCs w:val="18"/>
                <w:lang w:val="en-US" w:eastAsia="zh-CN"/>
              </w:rPr>
            </w:pPr>
          </w:p>
        </w:tc>
        <w:tc>
          <w:tcPr>
            <w:tcW w:w="1516" w:type="dxa"/>
            <w:vMerge w:val="continue"/>
            <w:shd w:val="clear" w:color="auto" w:fill="auto"/>
            <w:vAlign w:val="center"/>
          </w:tcPr>
          <w:p>
            <w:pPr>
              <w:jc w:val="left"/>
              <w:rPr>
                <w:rFonts w:hint="eastAsia" w:ascii="仿宋_GB2312" w:hAnsi="仿宋" w:eastAsia="仿宋_GB2312"/>
                <w:color w:val="000000"/>
                <w:sz w:val="18"/>
                <w:szCs w:val="18"/>
              </w:rPr>
            </w:pPr>
          </w:p>
        </w:tc>
        <w:tc>
          <w:tcPr>
            <w:tcW w:w="540"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709"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551"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1062" w:type="dxa"/>
            <w:vMerge w:val="continue"/>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Merge w:val="continue"/>
            <w:shd w:val="clear" w:color="auto" w:fill="auto"/>
            <w:vAlign w:val="center"/>
          </w:tcPr>
          <w:p>
            <w:pPr>
              <w:rPr>
                <w:rFonts w:hint="eastAsia" w:ascii="仿宋_GB2312" w:hAnsi="宋体" w:eastAsia="仿宋_GB2312" w:cs="宋体"/>
                <w:color w:val="000000"/>
                <w:sz w:val="18"/>
                <w:szCs w:val="18"/>
                <w:lang w:val="en-US" w:eastAsia="zh-CN"/>
              </w:rPr>
            </w:pPr>
          </w:p>
        </w:tc>
        <w:tc>
          <w:tcPr>
            <w:tcW w:w="2340"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2520" w:type="dxa"/>
            <w:vMerge w:val="continue"/>
            <w:shd w:val="clear" w:color="auto" w:fill="auto"/>
            <w:vAlign w:val="center"/>
          </w:tcPr>
          <w:p>
            <w:pPr>
              <w:rPr>
                <w:rFonts w:hint="eastAsia" w:ascii="仿宋_GB2312" w:hAnsi="宋体" w:eastAsia="仿宋_GB2312"/>
                <w:color w:val="000000"/>
                <w:sz w:val="18"/>
                <w:szCs w:val="18"/>
              </w:rPr>
            </w:pPr>
          </w:p>
        </w:tc>
        <w:tc>
          <w:tcPr>
            <w:tcW w:w="1620" w:type="dxa"/>
            <w:vMerge w:val="continue"/>
            <w:shd w:val="clear" w:color="auto" w:fill="auto"/>
            <w:vAlign w:val="center"/>
          </w:tcPr>
          <w:p>
            <w:pPr>
              <w:rPr>
                <w:rFonts w:hint="eastAsia" w:ascii="仿宋_GB2312" w:hAnsi="仿宋" w:eastAsia="仿宋_GB2312"/>
                <w:color w:val="000000"/>
                <w:sz w:val="18"/>
                <w:szCs w:val="18"/>
              </w:rPr>
            </w:pPr>
          </w:p>
        </w:tc>
        <w:tc>
          <w:tcPr>
            <w:tcW w:w="1544" w:type="dxa"/>
            <w:vMerge w:val="continue"/>
            <w:shd w:val="clear" w:color="auto" w:fill="auto"/>
            <w:vAlign w:val="center"/>
          </w:tcPr>
          <w:p>
            <w:pPr>
              <w:rPr>
                <w:rFonts w:hint="eastAsia" w:ascii="仿宋_GB2312" w:hAnsi="仿宋" w:eastAsia="仿宋_GB2312"/>
                <w:color w:val="000000"/>
                <w:sz w:val="18"/>
                <w:szCs w:val="18"/>
                <w:lang w:val="en-US" w:eastAsia="zh-CN"/>
              </w:rPr>
            </w:pPr>
          </w:p>
        </w:tc>
        <w:tc>
          <w:tcPr>
            <w:tcW w:w="1516" w:type="dxa"/>
            <w:vMerge w:val="continue"/>
            <w:shd w:val="clear" w:color="auto" w:fill="auto"/>
            <w:vAlign w:val="center"/>
          </w:tcPr>
          <w:p>
            <w:pPr>
              <w:jc w:val="left"/>
              <w:rPr>
                <w:rFonts w:hint="eastAsia" w:ascii="仿宋_GB2312" w:hAnsi="仿宋" w:eastAsia="仿宋_GB2312"/>
                <w:color w:val="000000"/>
                <w:sz w:val="18"/>
                <w:szCs w:val="18"/>
              </w:rPr>
            </w:pPr>
          </w:p>
        </w:tc>
        <w:tc>
          <w:tcPr>
            <w:tcW w:w="540"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709"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551"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1062" w:type="dxa"/>
            <w:vMerge w:val="continue"/>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Merge w:val="continue"/>
            <w:shd w:val="clear" w:color="auto" w:fill="auto"/>
            <w:vAlign w:val="center"/>
          </w:tcPr>
          <w:p>
            <w:pPr>
              <w:rPr>
                <w:rFonts w:hint="eastAsia" w:ascii="仿宋_GB2312" w:hAnsi="宋体" w:eastAsia="仿宋_GB2312" w:cs="宋体"/>
                <w:color w:val="000000"/>
                <w:sz w:val="18"/>
                <w:szCs w:val="18"/>
                <w:lang w:val="en-US" w:eastAsia="zh-CN"/>
              </w:rPr>
            </w:pPr>
          </w:p>
        </w:tc>
        <w:tc>
          <w:tcPr>
            <w:tcW w:w="2340" w:type="dxa"/>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2520" w:type="dxa"/>
            <w:vMerge w:val="continue"/>
            <w:shd w:val="clear" w:color="auto" w:fill="auto"/>
            <w:vAlign w:val="center"/>
          </w:tcPr>
          <w:p>
            <w:pPr>
              <w:rPr>
                <w:rFonts w:hint="eastAsia" w:ascii="仿宋_GB2312" w:hAnsi="宋体" w:eastAsia="仿宋_GB2312"/>
                <w:color w:val="000000"/>
                <w:sz w:val="18"/>
                <w:szCs w:val="18"/>
              </w:rPr>
            </w:pPr>
          </w:p>
        </w:tc>
        <w:tc>
          <w:tcPr>
            <w:tcW w:w="1620" w:type="dxa"/>
            <w:vMerge w:val="continue"/>
            <w:shd w:val="clear" w:color="auto" w:fill="auto"/>
            <w:vAlign w:val="center"/>
          </w:tcPr>
          <w:p>
            <w:pPr>
              <w:rPr>
                <w:rFonts w:hint="eastAsia" w:ascii="仿宋_GB2312" w:hAnsi="仿宋" w:eastAsia="仿宋_GB2312"/>
                <w:color w:val="000000"/>
                <w:sz w:val="18"/>
                <w:szCs w:val="18"/>
              </w:rPr>
            </w:pPr>
          </w:p>
        </w:tc>
        <w:tc>
          <w:tcPr>
            <w:tcW w:w="1544" w:type="dxa"/>
            <w:vMerge w:val="continue"/>
            <w:shd w:val="clear" w:color="auto" w:fill="auto"/>
            <w:vAlign w:val="center"/>
          </w:tcPr>
          <w:p>
            <w:pPr>
              <w:rPr>
                <w:rFonts w:hint="eastAsia" w:ascii="仿宋_GB2312" w:hAnsi="仿宋" w:eastAsia="仿宋_GB2312"/>
                <w:color w:val="000000"/>
                <w:sz w:val="18"/>
                <w:szCs w:val="18"/>
                <w:lang w:val="en-US" w:eastAsia="zh-CN"/>
              </w:rPr>
            </w:pPr>
          </w:p>
        </w:tc>
        <w:tc>
          <w:tcPr>
            <w:tcW w:w="1516" w:type="dxa"/>
            <w:vMerge w:val="continue"/>
            <w:shd w:val="clear" w:color="auto" w:fill="auto"/>
            <w:vAlign w:val="center"/>
          </w:tcPr>
          <w:p>
            <w:pPr>
              <w:jc w:val="left"/>
              <w:rPr>
                <w:rFonts w:hint="eastAsia" w:ascii="仿宋_GB2312" w:hAnsi="仿宋" w:eastAsia="仿宋_GB2312"/>
                <w:color w:val="000000"/>
                <w:sz w:val="18"/>
                <w:szCs w:val="18"/>
              </w:rPr>
            </w:pPr>
          </w:p>
        </w:tc>
        <w:tc>
          <w:tcPr>
            <w:tcW w:w="540"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709"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551"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1062" w:type="dxa"/>
            <w:vMerge w:val="continue"/>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Merge w:val="continue"/>
            <w:shd w:val="clear" w:color="auto" w:fill="auto"/>
            <w:vAlign w:val="center"/>
          </w:tcPr>
          <w:p>
            <w:pPr>
              <w:rPr>
                <w:rFonts w:hint="eastAsia" w:ascii="仿宋_GB2312" w:hAnsi="宋体" w:eastAsia="仿宋_GB2312" w:cs="宋体"/>
                <w:color w:val="000000"/>
                <w:kern w:val="2"/>
                <w:sz w:val="18"/>
                <w:szCs w:val="18"/>
                <w:lang w:val="en-US" w:eastAsia="zh-CN" w:bidi="ar-SA"/>
              </w:rPr>
            </w:pPr>
          </w:p>
        </w:tc>
        <w:tc>
          <w:tcPr>
            <w:tcW w:w="2340" w:type="dxa"/>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没有数据的表格应当列出空表并说明。</w:t>
            </w:r>
          </w:p>
        </w:tc>
        <w:tc>
          <w:tcPr>
            <w:tcW w:w="2520" w:type="dxa"/>
            <w:vMerge w:val="continue"/>
            <w:shd w:val="clear" w:color="auto" w:fill="auto"/>
            <w:vAlign w:val="center"/>
          </w:tcPr>
          <w:p>
            <w:pPr>
              <w:rPr>
                <w:rFonts w:hint="eastAsia" w:ascii="仿宋_GB2312" w:hAnsi="宋体" w:eastAsia="仿宋_GB2312"/>
                <w:color w:val="000000"/>
                <w:sz w:val="18"/>
                <w:szCs w:val="18"/>
              </w:rPr>
            </w:pPr>
          </w:p>
        </w:tc>
        <w:tc>
          <w:tcPr>
            <w:tcW w:w="1620" w:type="dxa"/>
            <w:vMerge w:val="continue"/>
            <w:shd w:val="clear" w:color="auto" w:fill="auto"/>
            <w:vAlign w:val="center"/>
          </w:tcPr>
          <w:p>
            <w:pPr>
              <w:rPr>
                <w:rFonts w:hint="eastAsia" w:ascii="仿宋_GB2312" w:hAnsi="仿宋" w:eastAsia="仿宋_GB2312"/>
                <w:color w:val="000000"/>
                <w:sz w:val="18"/>
                <w:szCs w:val="18"/>
              </w:rPr>
            </w:pPr>
          </w:p>
        </w:tc>
        <w:tc>
          <w:tcPr>
            <w:tcW w:w="1544" w:type="dxa"/>
            <w:vMerge w:val="continue"/>
            <w:shd w:val="clear" w:color="auto" w:fill="auto"/>
            <w:vAlign w:val="center"/>
          </w:tcPr>
          <w:p>
            <w:pPr>
              <w:rPr>
                <w:rFonts w:hint="eastAsia" w:ascii="仿宋_GB2312" w:hAnsi="仿宋" w:eastAsia="仿宋_GB2312"/>
                <w:color w:val="000000"/>
                <w:sz w:val="18"/>
                <w:szCs w:val="18"/>
                <w:lang w:val="en-US" w:eastAsia="zh-CN"/>
              </w:rPr>
            </w:pPr>
          </w:p>
        </w:tc>
        <w:tc>
          <w:tcPr>
            <w:tcW w:w="1516" w:type="dxa"/>
            <w:vMerge w:val="continue"/>
            <w:shd w:val="clear" w:color="auto" w:fill="auto"/>
            <w:vAlign w:val="center"/>
          </w:tcPr>
          <w:p>
            <w:pPr>
              <w:jc w:val="left"/>
              <w:rPr>
                <w:rFonts w:hint="eastAsia" w:ascii="仿宋_GB2312" w:hAnsi="仿宋" w:eastAsia="仿宋_GB2312"/>
                <w:color w:val="000000"/>
                <w:sz w:val="18"/>
                <w:szCs w:val="18"/>
              </w:rPr>
            </w:pPr>
          </w:p>
        </w:tc>
        <w:tc>
          <w:tcPr>
            <w:tcW w:w="540"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709"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551"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1062" w:type="dxa"/>
            <w:vMerge w:val="continue"/>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7" w:hRule="atLeas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Merge w:val="restart"/>
            <w:shd w:val="clear" w:color="auto" w:fill="auto"/>
            <w:vAlign w:val="center"/>
          </w:tcPr>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部门</w:t>
            </w: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决算</w:t>
            </w: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部门</w:t>
            </w: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决算</w:t>
            </w:r>
          </w:p>
        </w:tc>
        <w:tc>
          <w:tcPr>
            <w:tcW w:w="2340" w:type="dxa"/>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2520" w:type="dxa"/>
            <w:vMerge w:val="restart"/>
            <w:shd w:val="clear" w:color="auto" w:fill="auto"/>
            <w:vAlign w:val="center"/>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tc>
        <w:tc>
          <w:tcPr>
            <w:tcW w:w="1620" w:type="dxa"/>
            <w:vMerge w:val="restart"/>
            <w:shd w:val="clear" w:color="auto" w:fill="auto"/>
            <w:vAlign w:val="center"/>
          </w:tcPr>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 xml:space="preserve"> </w:t>
            </w: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s="Times New Roman"/>
                <w:color w:val="000000"/>
                <w:kern w:val="2"/>
                <w:sz w:val="18"/>
                <w:szCs w:val="18"/>
                <w:lang w:val="en-US" w:eastAsia="zh-CN" w:bidi="ar-SA"/>
              </w:rPr>
            </w:pPr>
          </w:p>
        </w:tc>
        <w:tc>
          <w:tcPr>
            <w:tcW w:w="1544" w:type="dxa"/>
            <w:vMerge w:val="restart"/>
            <w:shd w:val="clear" w:color="auto" w:fill="auto"/>
            <w:vAlign w:val="center"/>
          </w:tcPr>
          <w:p>
            <w:pPr>
              <w:widowControl/>
              <w:textAlignment w:val="center"/>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lang w:val="en-US" w:eastAsia="zh-CN"/>
              </w:rPr>
              <w:t>准格尔旗民族事务委员会</w:t>
            </w:r>
          </w:p>
          <w:p>
            <w:pPr>
              <w:widowControl/>
              <w:textAlignment w:val="center"/>
              <w:rPr>
                <w:rFonts w:hint="default" w:ascii="仿宋_GB2312" w:hAnsi="仿宋" w:eastAsia="仿宋_GB2312"/>
                <w:color w:val="000000"/>
                <w:sz w:val="18"/>
                <w:szCs w:val="18"/>
                <w:lang w:val="en-US" w:eastAsia="zh-CN"/>
              </w:rPr>
            </w:pPr>
          </w:p>
        </w:tc>
        <w:tc>
          <w:tcPr>
            <w:tcW w:w="1516" w:type="dxa"/>
            <w:vMerge w:val="restart"/>
            <w:shd w:val="clear" w:color="auto" w:fill="auto"/>
            <w:vAlign w:val="center"/>
          </w:tcPr>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公告公示栏</w:t>
            </w: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 xml:space="preserve"> </w:t>
            </w:r>
          </w:p>
          <w:p>
            <w:pPr>
              <w:widowControl/>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 xml:space="preserve">    </w:t>
            </w: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公告公示栏</w:t>
            </w: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default" w:ascii="仿宋_GB2312" w:hAnsi="宋体" w:eastAsia="仿宋_GB2312" w:cs="Times New Roman"/>
                <w:color w:val="000000"/>
                <w:kern w:val="2"/>
                <w:sz w:val="18"/>
                <w:szCs w:val="18"/>
                <w:lang w:val="en-US" w:eastAsia="zh-CN" w:bidi="ar-SA"/>
              </w:rPr>
            </w:pPr>
          </w:p>
        </w:tc>
        <w:tc>
          <w:tcPr>
            <w:tcW w:w="540" w:type="dxa"/>
            <w:vMerge w:val="restart"/>
            <w:shd w:val="clear" w:color="auto" w:fill="auto"/>
            <w:vAlign w:val="center"/>
          </w:tcPr>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709" w:type="dxa"/>
            <w:vMerge w:val="restart"/>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vMerge w:val="restart"/>
            <w:shd w:val="clear" w:color="auto" w:fill="auto"/>
            <w:vAlign w:val="center"/>
          </w:tcPr>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1062" w:type="dxa"/>
            <w:vMerge w:val="restart"/>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1" w:hRule="exac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Merge w:val="continue"/>
            <w:shd w:val="clear" w:color="auto" w:fill="auto"/>
            <w:vAlign w:val="center"/>
          </w:tcPr>
          <w:p>
            <w:pPr>
              <w:rPr>
                <w:rFonts w:hint="eastAsia" w:ascii="仿宋_GB2312" w:hAnsi="宋体" w:eastAsia="仿宋_GB2312" w:cs="宋体"/>
                <w:color w:val="000000"/>
                <w:sz w:val="18"/>
                <w:szCs w:val="18"/>
                <w:lang w:val="en-US" w:eastAsia="zh-CN"/>
              </w:rPr>
            </w:pPr>
          </w:p>
        </w:tc>
        <w:tc>
          <w:tcPr>
            <w:tcW w:w="2340" w:type="dxa"/>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2520" w:type="dxa"/>
            <w:vMerge w:val="continue"/>
            <w:shd w:val="clear" w:color="auto" w:fill="auto"/>
            <w:vAlign w:val="center"/>
          </w:tcPr>
          <w:p>
            <w:pPr>
              <w:rPr>
                <w:rFonts w:hint="eastAsia" w:ascii="仿宋_GB2312" w:hAnsi="宋体" w:eastAsia="仿宋_GB2312"/>
                <w:color w:val="000000"/>
                <w:sz w:val="18"/>
                <w:szCs w:val="18"/>
              </w:rPr>
            </w:pPr>
          </w:p>
        </w:tc>
        <w:tc>
          <w:tcPr>
            <w:tcW w:w="1620" w:type="dxa"/>
            <w:vMerge w:val="continue"/>
            <w:shd w:val="clear" w:color="auto" w:fill="auto"/>
            <w:vAlign w:val="center"/>
          </w:tcPr>
          <w:p>
            <w:pPr>
              <w:rPr>
                <w:rFonts w:hint="eastAsia" w:ascii="仿宋_GB2312" w:hAnsi="仿宋" w:eastAsia="仿宋_GB2312"/>
                <w:color w:val="000000"/>
                <w:sz w:val="18"/>
                <w:szCs w:val="18"/>
              </w:rPr>
            </w:pPr>
          </w:p>
        </w:tc>
        <w:tc>
          <w:tcPr>
            <w:tcW w:w="1544" w:type="dxa"/>
            <w:vMerge w:val="continue"/>
            <w:shd w:val="clear" w:color="auto" w:fill="auto"/>
            <w:vAlign w:val="center"/>
          </w:tcPr>
          <w:p>
            <w:pPr>
              <w:rPr>
                <w:rFonts w:hint="eastAsia" w:ascii="仿宋_GB2312" w:hAnsi="仿宋" w:eastAsia="仿宋_GB2312"/>
                <w:color w:val="000000"/>
                <w:sz w:val="18"/>
                <w:szCs w:val="18"/>
                <w:lang w:val="en-US" w:eastAsia="zh-CN"/>
              </w:rPr>
            </w:pPr>
          </w:p>
        </w:tc>
        <w:tc>
          <w:tcPr>
            <w:tcW w:w="1516" w:type="dxa"/>
            <w:vMerge w:val="continue"/>
            <w:shd w:val="clear" w:color="auto" w:fill="auto"/>
            <w:vAlign w:val="center"/>
          </w:tcPr>
          <w:p>
            <w:pPr>
              <w:jc w:val="left"/>
              <w:rPr>
                <w:rFonts w:hint="eastAsia" w:ascii="仿宋_GB2312" w:hAnsi="仿宋" w:eastAsia="仿宋_GB2312"/>
                <w:color w:val="000000"/>
                <w:sz w:val="18"/>
                <w:szCs w:val="18"/>
              </w:rPr>
            </w:pPr>
          </w:p>
        </w:tc>
        <w:tc>
          <w:tcPr>
            <w:tcW w:w="540"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709"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551"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1062" w:type="dxa"/>
            <w:vMerge w:val="continue"/>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Merge w:val="continue"/>
            <w:shd w:val="clear" w:color="auto" w:fill="auto"/>
            <w:vAlign w:val="center"/>
          </w:tcPr>
          <w:p>
            <w:pPr>
              <w:rPr>
                <w:rFonts w:hint="eastAsia" w:ascii="仿宋_GB2312" w:hAnsi="宋体" w:eastAsia="仿宋_GB2312" w:cs="宋体"/>
                <w:color w:val="000000"/>
                <w:sz w:val="18"/>
                <w:szCs w:val="18"/>
                <w:lang w:val="en-US" w:eastAsia="zh-CN"/>
              </w:rPr>
            </w:pPr>
          </w:p>
        </w:tc>
        <w:tc>
          <w:tcPr>
            <w:tcW w:w="2340" w:type="dxa"/>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2520" w:type="dxa"/>
            <w:vMerge w:val="continue"/>
            <w:shd w:val="clear" w:color="auto" w:fill="auto"/>
            <w:vAlign w:val="center"/>
          </w:tcPr>
          <w:p>
            <w:pPr>
              <w:rPr>
                <w:rFonts w:hint="eastAsia" w:ascii="仿宋_GB2312" w:hAnsi="宋体" w:eastAsia="仿宋_GB2312"/>
                <w:color w:val="000000"/>
                <w:sz w:val="18"/>
                <w:szCs w:val="18"/>
              </w:rPr>
            </w:pPr>
          </w:p>
        </w:tc>
        <w:tc>
          <w:tcPr>
            <w:tcW w:w="1620" w:type="dxa"/>
            <w:vMerge w:val="continue"/>
            <w:shd w:val="clear" w:color="auto" w:fill="auto"/>
            <w:vAlign w:val="center"/>
          </w:tcPr>
          <w:p>
            <w:pPr>
              <w:rPr>
                <w:rFonts w:hint="eastAsia" w:ascii="仿宋_GB2312" w:hAnsi="仿宋" w:eastAsia="仿宋_GB2312"/>
                <w:color w:val="000000"/>
                <w:sz w:val="18"/>
                <w:szCs w:val="18"/>
              </w:rPr>
            </w:pPr>
          </w:p>
        </w:tc>
        <w:tc>
          <w:tcPr>
            <w:tcW w:w="1544" w:type="dxa"/>
            <w:vMerge w:val="continue"/>
            <w:shd w:val="clear" w:color="auto" w:fill="auto"/>
            <w:vAlign w:val="center"/>
          </w:tcPr>
          <w:p>
            <w:pPr>
              <w:rPr>
                <w:rFonts w:hint="eastAsia" w:ascii="仿宋_GB2312" w:hAnsi="仿宋" w:eastAsia="仿宋_GB2312"/>
                <w:color w:val="000000"/>
                <w:sz w:val="18"/>
                <w:szCs w:val="18"/>
                <w:lang w:val="en-US" w:eastAsia="zh-CN"/>
              </w:rPr>
            </w:pPr>
          </w:p>
        </w:tc>
        <w:tc>
          <w:tcPr>
            <w:tcW w:w="1516" w:type="dxa"/>
            <w:vMerge w:val="continue"/>
            <w:shd w:val="clear" w:color="auto" w:fill="auto"/>
            <w:vAlign w:val="center"/>
          </w:tcPr>
          <w:p>
            <w:pPr>
              <w:jc w:val="left"/>
              <w:rPr>
                <w:rFonts w:hint="eastAsia" w:ascii="仿宋_GB2312" w:hAnsi="仿宋" w:eastAsia="仿宋_GB2312"/>
                <w:color w:val="000000"/>
                <w:sz w:val="18"/>
                <w:szCs w:val="18"/>
              </w:rPr>
            </w:pPr>
          </w:p>
        </w:tc>
        <w:tc>
          <w:tcPr>
            <w:tcW w:w="540"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709"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551"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1062" w:type="dxa"/>
            <w:vMerge w:val="continue"/>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Merge w:val="continue"/>
            <w:shd w:val="clear" w:color="auto" w:fill="auto"/>
            <w:vAlign w:val="center"/>
          </w:tcPr>
          <w:p>
            <w:pPr>
              <w:rPr>
                <w:rFonts w:hint="eastAsia" w:ascii="仿宋_GB2312" w:hAnsi="宋体" w:eastAsia="仿宋_GB2312" w:cs="宋体"/>
                <w:color w:val="000000"/>
                <w:kern w:val="2"/>
                <w:sz w:val="18"/>
                <w:szCs w:val="18"/>
                <w:lang w:val="en-US" w:eastAsia="zh-CN" w:bidi="ar-SA"/>
              </w:rPr>
            </w:pPr>
          </w:p>
        </w:tc>
        <w:tc>
          <w:tcPr>
            <w:tcW w:w="2340" w:type="dxa"/>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2520" w:type="dxa"/>
            <w:vMerge w:val="continue"/>
            <w:shd w:val="clear" w:color="auto" w:fill="auto"/>
            <w:vAlign w:val="center"/>
          </w:tcPr>
          <w:p>
            <w:pPr>
              <w:rPr>
                <w:rFonts w:hint="eastAsia" w:ascii="仿宋_GB2312" w:hAnsi="宋体" w:eastAsia="仿宋_GB2312"/>
                <w:color w:val="000000"/>
                <w:sz w:val="18"/>
                <w:szCs w:val="18"/>
              </w:rPr>
            </w:pPr>
          </w:p>
        </w:tc>
        <w:tc>
          <w:tcPr>
            <w:tcW w:w="1620" w:type="dxa"/>
            <w:vMerge w:val="continue"/>
            <w:shd w:val="clear" w:color="auto" w:fill="auto"/>
            <w:vAlign w:val="center"/>
          </w:tcPr>
          <w:p>
            <w:pPr>
              <w:rPr>
                <w:rFonts w:hint="eastAsia" w:ascii="仿宋_GB2312" w:hAnsi="仿宋" w:eastAsia="仿宋_GB2312"/>
                <w:color w:val="000000"/>
                <w:sz w:val="18"/>
                <w:szCs w:val="18"/>
              </w:rPr>
            </w:pPr>
          </w:p>
        </w:tc>
        <w:tc>
          <w:tcPr>
            <w:tcW w:w="1544" w:type="dxa"/>
            <w:vMerge w:val="continue"/>
            <w:shd w:val="clear" w:color="auto" w:fill="auto"/>
            <w:vAlign w:val="center"/>
          </w:tcPr>
          <w:p>
            <w:pPr>
              <w:rPr>
                <w:rFonts w:hint="eastAsia" w:ascii="仿宋_GB2312" w:hAnsi="仿宋" w:eastAsia="仿宋_GB2312"/>
                <w:color w:val="000000"/>
                <w:sz w:val="18"/>
                <w:szCs w:val="18"/>
                <w:lang w:val="en-US" w:eastAsia="zh-CN"/>
              </w:rPr>
            </w:pPr>
          </w:p>
        </w:tc>
        <w:tc>
          <w:tcPr>
            <w:tcW w:w="1516" w:type="dxa"/>
            <w:vMerge w:val="continue"/>
            <w:shd w:val="clear" w:color="auto" w:fill="auto"/>
            <w:vAlign w:val="center"/>
          </w:tcPr>
          <w:p>
            <w:pPr>
              <w:jc w:val="left"/>
              <w:rPr>
                <w:rFonts w:hint="eastAsia" w:ascii="仿宋_GB2312" w:hAnsi="仿宋" w:eastAsia="仿宋_GB2312"/>
                <w:color w:val="000000"/>
                <w:sz w:val="18"/>
                <w:szCs w:val="18"/>
              </w:rPr>
            </w:pPr>
          </w:p>
        </w:tc>
        <w:tc>
          <w:tcPr>
            <w:tcW w:w="540"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709"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551"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1062" w:type="dxa"/>
            <w:vMerge w:val="continue"/>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exac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Merge w:val="continue"/>
            <w:shd w:val="clear" w:color="auto" w:fill="auto"/>
            <w:vAlign w:val="center"/>
          </w:tcPr>
          <w:p>
            <w:pPr>
              <w:rPr>
                <w:rFonts w:hint="eastAsia" w:ascii="仿宋_GB2312" w:hAnsi="宋体" w:eastAsia="仿宋_GB2312" w:cs="宋体"/>
                <w:color w:val="000000"/>
                <w:sz w:val="18"/>
                <w:szCs w:val="18"/>
              </w:rPr>
            </w:pPr>
          </w:p>
        </w:tc>
        <w:tc>
          <w:tcPr>
            <w:tcW w:w="2340" w:type="dxa"/>
            <w:shd w:val="clear" w:color="auto" w:fill="auto"/>
            <w:vAlign w:val="center"/>
          </w:tcPr>
          <w:p>
            <w:pPr>
              <w:widowControl/>
              <w:textAlignment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没有数据的表格应当列出空表并说明。</w:t>
            </w:r>
          </w:p>
        </w:tc>
        <w:tc>
          <w:tcPr>
            <w:tcW w:w="2520" w:type="dxa"/>
            <w:vMerge w:val="continue"/>
            <w:shd w:val="clear" w:color="auto" w:fill="auto"/>
            <w:vAlign w:val="center"/>
          </w:tcPr>
          <w:p>
            <w:pPr>
              <w:rPr>
                <w:rFonts w:hint="eastAsia" w:ascii="仿宋_GB2312" w:hAnsi="宋体" w:eastAsia="仿宋_GB2312" w:cs="宋体"/>
                <w:color w:val="000000"/>
                <w:kern w:val="2"/>
                <w:sz w:val="18"/>
                <w:szCs w:val="18"/>
                <w:lang w:val="en-US" w:eastAsia="zh-CN" w:bidi="ar-SA"/>
              </w:rPr>
            </w:pPr>
          </w:p>
        </w:tc>
        <w:tc>
          <w:tcPr>
            <w:tcW w:w="1620" w:type="dxa"/>
            <w:vMerge w:val="continue"/>
            <w:shd w:val="clear" w:color="auto" w:fill="auto"/>
            <w:vAlign w:val="center"/>
          </w:tcPr>
          <w:p>
            <w:pPr>
              <w:rPr>
                <w:rFonts w:hint="eastAsia" w:ascii="仿宋_GB2312" w:hAnsi="仿宋" w:eastAsia="仿宋_GB2312" w:cs="宋体"/>
                <w:color w:val="000000"/>
                <w:kern w:val="2"/>
                <w:sz w:val="18"/>
                <w:szCs w:val="18"/>
                <w:lang w:val="en-US" w:eastAsia="zh-CN" w:bidi="ar-SA"/>
              </w:rPr>
            </w:pPr>
          </w:p>
        </w:tc>
        <w:tc>
          <w:tcPr>
            <w:tcW w:w="1544" w:type="dxa"/>
            <w:vMerge w:val="continue"/>
            <w:shd w:val="clear" w:color="auto" w:fill="auto"/>
            <w:vAlign w:val="center"/>
          </w:tcPr>
          <w:p>
            <w:pPr>
              <w:rPr>
                <w:rFonts w:hint="eastAsia" w:ascii="仿宋_GB2312" w:hAnsi="仿宋" w:eastAsia="仿宋_GB2312" w:cs="宋体"/>
                <w:color w:val="000000"/>
                <w:kern w:val="2"/>
                <w:sz w:val="18"/>
                <w:szCs w:val="18"/>
                <w:lang w:val="en-US" w:eastAsia="zh-CN" w:bidi="ar-SA"/>
              </w:rPr>
            </w:pPr>
          </w:p>
        </w:tc>
        <w:tc>
          <w:tcPr>
            <w:tcW w:w="1516" w:type="dxa"/>
            <w:vMerge w:val="continue"/>
            <w:shd w:val="clear" w:color="auto" w:fill="auto"/>
            <w:vAlign w:val="center"/>
          </w:tcPr>
          <w:p>
            <w:pPr>
              <w:jc w:val="left"/>
              <w:rPr>
                <w:rFonts w:hint="eastAsia" w:ascii="仿宋_GB2312" w:hAnsi="仿宋" w:eastAsia="仿宋_GB2312" w:cs="宋体"/>
                <w:color w:val="000000"/>
                <w:kern w:val="2"/>
                <w:sz w:val="18"/>
                <w:szCs w:val="18"/>
                <w:lang w:val="en-US" w:eastAsia="zh-CN" w:bidi="ar-SA"/>
              </w:rPr>
            </w:pPr>
          </w:p>
        </w:tc>
        <w:tc>
          <w:tcPr>
            <w:tcW w:w="540"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709"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551"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1062" w:type="dxa"/>
            <w:vMerge w:val="continue"/>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工资</w:t>
            </w:r>
          </w:p>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查询</w:t>
            </w:r>
          </w:p>
        </w:tc>
        <w:tc>
          <w:tcPr>
            <w:tcW w:w="2340" w:type="dxa"/>
            <w:shd w:val="clear" w:color="auto" w:fill="auto"/>
            <w:vAlign w:val="center"/>
          </w:tcPr>
          <w:p>
            <w:pPr>
              <w:widowControl/>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个人工资信息</w:t>
            </w:r>
          </w:p>
        </w:tc>
        <w:tc>
          <w:tcPr>
            <w:tcW w:w="252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实时公开</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lang w:val="en-US" w:eastAsia="zh-CN"/>
              </w:rPr>
              <w:t>准格尔旗民族事务委员会</w:t>
            </w:r>
          </w:p>
        </w:tc>
        <w:tc>
          <w:tcPr>
            <w:tcW w:w="1516" w:type="dxa"/>
            <w:shd w:val="clear" w:color="auto" w:fill="auto"/>
            <w:vAlign w:val="center"/>
          </w:tcPr>
          <w:p>
            <w:pPr>
              <w:widowControl/>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政府门户网站</w:t>
            </w:r>
          </w:p>
          <w:p>
            <w:pPr>
              <w:jc w:val="left"/>
              <w:rPr>
                <w:rFonts w:hint="default" w:ascii="仿宋_GB2312" w:hAnsi="宋体" w:eastAsia="仿宋_GB2312"/>
                <w:color w:val="000000"/>
                <w:sz w:val="18"/>
                <w:szCs w:val="18"/>
                <w:lang w:val="en-US"/>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局机关办公室</w:t>
            </w:r>
          </w:p>
        </w:tc>
        <w:tc>
          <w:tcPr>
            <w:tcW w:w="540" w:type="dxa"/>
            <w:shd w:val="clear" w:color="auto" w:fill="auto"/>
            <w:vAlign w:val="center"/>
          </w:tcPr>
          <w:p>
            <w:pPr>
              <w:jc w:val="center"/>
              <w:rPr>
                <w:rFonts w:hint="eastAsia" w:ascii="仿宋_GB2312" w:hAnsi="仿宋" w:eastAsia="仿宋_GB2312" w:cs="宋体"/>
                <w:color w:val="000000"/>
                <w:sz w:val="18"/>
                <w:szCs w:val="18"/>
              </w:rPr>
            </w:pPr>
          </w:p>
        </w:tc>
        <w:tc>
          <w:tcPr>
            <w:tcW w:w="709" w:type="dxa"/>
            <w:shd w:val="clear" w:color="auto" w:fill="auto"/>
            <w:vAlign w:val="center"/>
          </w:tcPr>
          <w:p>
            <w:pPr>
              <w:jc w:val="center"/>
              <w:rPr>
                <w:rFonts w:hint="eastAsia" w:ascii="仿宋_GB2312" w:hAnsi="仿宋" w:eastAsia="仿宋_GB2312" w:cs="宋体"/>
                <w:color w:val="000000"/>
                <w:sz w:val="18"/>
                <w:szCs w:val="18"/>
              </w:rPr>
            </w:pPr>
          </w:p>
        </w:tc>
        <w:tc>
          <w:tcPr>
            <w:tcW w:w="551" w:type="dxa"/>
            <w:shd w:val="clear" w:color="auto" w:fill="auto"/>
            <w:vAlign w:val="center"/>
          </w:tcPr>
          <w:p>
            <w:pPr>
              <w:jc w:val="center"/>
              <w:rPr>
                <w:rFonts w:hint="eastAsia" w:ascii="仿宋_GB2312" w:hAnsi="仿宋" w:eastAsia="仿宋_GB2312" w:cs="宋体"/>
                <w:color w:val="000000"/>
                <w:sz w:val="18"/>
                <w:szCs w:val="18"/>
              </w:rPr>
            </w:pPr>
          </w:p>
        </w:tc>
        <w:tc>
          <w:tcPr>
            <w:tcW w:w="1062"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3" w:hRule="atLeas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政务</w:t>
            </w:r>
          </w:p>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信息</w:t>
            </w:r>
          </w:p>
        </w:tc>
        <w:tc>
          <w:tcPr>
            <w:tcW w:w="2340" w:type="dxa"/>
            <w:shd w:val="clear" w:color="auto" w:fill="auto"/>
            <w:vAlign w:val="center"/>
          </w:tcPr>
          <w:p>
            <w:pPr>
              <w:widowControl/>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三重一大、人事等信息</w:t>
            </w:r>
          </w:p>
        </w:tc>
        <w:tc>
          <w:tcPr>
            <w:tcW w:w="252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实时公开</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lang w:val="en-US" w:eastAsia="zh-CN"/>
              </w:rPr>
              <w:t>准格尔</w:t>
            </w:r>
            <w:bookmarkStart w:id="0" w:name="_GoBack"/>
            <w:bookmarkEnd w:id="0"/>
            <w:r>
              <w:rPr>
                <w:rFonts w:hint="eastAsia" w:ascii="仿宋_GB2312" w:hAnsi="仿宋" w:eastAsia="仿宋_GB2312"/>
                <w:color w:val="000000"/>
                <w:sz w:val="18"/>
                <w:szCs w:val="18"/>
                <w:lang w:val="en-US" w:eastAsia="zh-CN"/>
              </w:rPr>
              <w:t>旗民族事务委员会</w:t>
            </w:r>
          </w:p>
        </w:tc>
        <w:tc>
          <w:tcPr>
            <w:tcW w:w="1516" w:type="dxa"/>
            <w:shd w:val="clear" w:color="auto" w:fill="auto"/>
            <w:vAlign w:val="center"/>
          </w:tcPr>
          <w:p>
            <w:pPr>
              <w:widowControl/>
              <w:textAlignment w:val="center"/>
              <w:rPr>
                <w:rFonts w:hint="eastAsia" w:ascii="仿宋_GB2312" w:hAnsi="仿宋" w:eastAsia="仿宋_GB2312" w:cs="宋体"/>
                <w:color w:val="000000"/>
                <w:kern w:val="2"/>
                <w:sz w:val="18"/>
                <w:szCs w:val="18"/>
                <w:lang w:val="en-US" w:eastAsia="zh-CN" w:bidi="ar-SA"/>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公告公示栏</w:t>
            </w:r>
          </w:p>
        </w:tc>
        <w:tc>
          <w:tcPr>
            <w:tcW w:w="540"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09"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咨询</w:t>
            </w:r>
          </w:p>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val="en-US" w:eastAsia="zh-CN"/>
              </w:rPr>
              <w:t>投诉</w:t>
            </w:r>
          </w:p>
        </w:tc>
        <w:tc>
          <w:tcPr>
            <w:tcW w:w="2340" w:type="dxa"/>
            <w:shd w:val="clear" w:color="auto" w:fill="auto"/>
            <w:vAlign w:val="center"/>
          </w:tcPr>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咨询、举报、投诉电话号码</w:t>
            </w:r>
          </w:p>
        </w:tc>
        <w:tc>
          <w:tcPr>
            <w:tcW w:w="2520" w:type="dxa"/>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实时公开</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lang w:val="en-US" w:eastAsia="zh-CN"/>
              </w:rPr>
              <w:t>准格尔旗民族事务委员会</w:t>
            </w:r>
          </w:p>
        </w:tc>
        <w:tc>
          <w:tcPr>
            <w:tcW w:w="1516" w:type="dxa"/>
            <w:shd w:val="clear" w:color="auto" w:fill="auto"/>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hint="eastAsia" w:ascii="仿宋_GB2312" w:hAnsi="仿宋" w:eastAsia="仿宋_GB2312" w:cs="宋体"/>
                <w:color w:val="000000"/>
                <w:kern w:val="2"/>
                <w:sz w:val="18"/>
                <w:szCs w:val="18"/>
                <w:lang w:val="en-US" w:eastAsia="zh-CN" w:bidi="ar-SA"/>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政务服务中心</w:t>
            </w:r>
          </w:p>
        </w:tc>
        <w:tc>
          <w:tcPr>
            <w:tcW w:w="540"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09"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1" w:hRule="exac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标准化建设工作</w:t>
            </w: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val="en-US" w:eastAsia="zh-CN"/>
              </w:rPr>
              <w:t>标准化建设信息</w:t>
            </w:r>
          </w:p>
        </w:tc>
        <w:tc>
          <w:tcPr>
            <w:tcW w:w="252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实时公开</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lang w:val="en-US" w:eastAsia="zh-CN"/>
              </w:rPr>
              <w:t>准格尔旗民族事务委员会</w:t>
            </w:r>
          </w:p>
        </w:tc>
        <w:tc>
          <w:tcPr>
            <w:tcW w:w="1516" w:type="dxa"/>
            <w:shd w:val="clear" w:color="auto" w:fill="auto"/>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微信公众号</w:t>
            </w:r>
          </w:p>
          <w:p>
            <w:pPr>
              <w:jc w:val="left"/>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政务服务中心</w:t>
            </w:r>
          </w:p>
        </w:tc>
        <w:tc>
          <w:tcPr>
            <w:tcW w:w="540"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09"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1" w:hRule="atLeas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政务服务大厅运行管理工作</w:t>
            </w: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val="en-US" w:eastAsia="zh-CN"/>
              </w:rPr>
              <w:t>政务服务大厅运行管理信息</w:t>
            </w:r>
          </w:p>
        </w:tc>
        <w:tc>
          <w:tcPr>
            <w:tcW w:w="252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实时公开</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lang w:val="en-US" w:eastAsia="zh-CN"/>
              </w:rPr>
              <w:t>准格尔旗民族事务委员会</w:t>
            </w:r>
          </w:p>
        </w:tc>
        <w:tc>
          <w:tcPr>
            <w:tcW w:w="1516" w:type="dxa"/>
            <w:shd w:val="clear" w:color="auto" w:fill="auto"/>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微信公众号</w:t>
            </w:r>
          </w:p>
          <w:p>
            <w:pPr>
              <w:jc w:val="left"/>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政务服务中心</w:t>
            </w:r>
          </w:p>
        </w:tc>
        <w:tc>
          <w:tcPr>
            <w:tcW w:w="540"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09"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5" w:hRule="atLeast"/>
        </w:trPr>
        <w:tc>
          <w:tcPr>
            <w:tcW w:w="540" w:type="dxa"/>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2</w:t>
            </w:r>
          </w:p>
        </w:tc>
        <w:tc>
          <w:tcPr>
            <w:tcW w:w="683" w:type="dxa"/>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“放管服”改革协调推进工作</w:t>
            </w:r>
          </w:p>
        </w:tc>
        <w:tc>
          <w:tcPr>
            <w:tcW w:w="757" w:type="dxa"/>
            <w:shd w:val="clear" w:color="auto" w:fill="auto"/>
            <w:vAlign w:val="center"/>
          </w:tcPr>
          <w:p>
            <w:pP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协调推进工作</w:t>
            </w:r>
          </w:p>
        </w:tc>
        <w:tc>
          <w:tcPr>
            <w:tcW w:w="2340" w:type="dxa"/>
            <w:shd w:val="clear" w:color="auto" w:fill="auto"/>
            <w:vAlign w:val="center"/>
          </w:tcPr>
          <w:p>
            <w:pP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行政审批制度改革推进、规范审批服务便民化、行政权力和公共服务事项规范化建设及应用有关信息</w:t>
            </w:r>
          </w:p>
        </w:tc>
        <w:tc>
          <w:tcPr>
            <w:tcW w:w="252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实时公开</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lang w:val="en-US" w:eastAsia="zh-CN"/>
              </w:rPr>
              <w:t>准格尔旗民族事务委员会</w:t>
            </w:r>
          </w:p>
        </w:tc>
        <w:tc>
          <w:tcPr>
            <w:tcW w:w="1516" w:type="dxa"/>
            <w:shd w:val="clear" w:color="auto" w:fill="auto"/>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微信公众号</w:t>
            </w:r>
          </w:p>
          <w:p>
            <w:pPr>
              <w:jc w:val="left"/>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新闻媒体</w:t>
            </w:r>
          </w:p>
        </w:tc>
        <w:tc>
          <w:tcPr>
            <w:tcW w:w="540"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09"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3" w:hRule="atLeast"/>
        </w:trPr>
        <w:tc>
          <w:tcPr>
            <w:tcW w:w="540" w:type="dxa"/>
            <w:vAlign w:val="center"/>
          </w:tcPr>
          <w:p>
            <w:pPr>
              <w:rPr>
                <w:rFonts w:hint="eastAsia" w:ascii="仿宋_GB2312" w:hAnsi="宋体" w:eastAsia="仿宋_GB2312" w:cs="宋体"/>
                <w:color w:val="000000"/>
                <w:sz w:val="18"/>
                <w:szCs w:val="18"/>
                <w:lang w:val="en-US" w:eastAsia="zh-CN"/>
              </w:rPr>
            </w:pPr>
          </w:p>
        </w:tc>
        <w:tc>
          <w:tcPr>
            <w:tcW w:w="683" w:type="dxa"/>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政府网站工作年度报告</w:t>
            </w:r>
          </w:p>
        </w:tc>
        <w:tc>
          <w:tcPr>
            <w:tcW w:w="2340" w:type="dxa"/>
            <w:shd w:val="clear" w:color="auto" w:fill="auto"/>
            <w:vAlign w:val="center"/>
          </w:tcPr>
          <w:p>
            <w:pPr>
              <w:rPr>
                <w:rFonts w:hint="eastAsia" w:ascii="仿宋_GB2312" w:hAnsi="宋体" w:eastAsia="仿宋_GB2312"/>
                <w:color w:val="000000"/>
                <w:sz w:val="18"/>
                <w:szCs w:val="18"/>
                <w:lang w:val="en-US" w:eastAsia="zh-CN"/>
              </w:rPr>
            </w:pPr>
          </w:p>
          <w:p>
            <w:pPr>
              <w:rPr>
                <w:rFonts w:hint="eastAsia" w:ascii="仿宋_GB2312" w:hAnsi="宋体" w:eastAsia="仿宋_GB2312"/>
                <w:color w:val="000000"/>
                <w:sz w:val="18"/>
                <w:szCs w:val="18"/>
                <w:lang w:val="en-US" w:eastAsia="zh-CN"/>
              </w:rPr>
            </w:pPr>
          </w:p>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政府网站工作年度报告</w:t>
            </w:r>
          </w:p>
        </w:tc>
        <w:tc>
          <w:tcPr>
            <w:tcW w:w="2520" w:type="dxa"/>
            <w:shd w:val="clear" w:color="auto" w:fill="auto"/>
            <w:vAlign w:val="center"/>
          </w:tcPr>
          <w:p>
            <w:pP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lang w:val="en-US" w:eastAsia="zh-CN"/>
              </w:rPr>
              <w:t>政府网站发展指引》</w:t>
            </w:r>
          </w:p>
        </w:tc>
        <w:tc>
          <w:tcPr>
            <w:tcW w:w="1620" w:type="dxa"/>
            <w:shd w:val="clear" w:color="auto" w:fill="auto"/>
            <w:vAlign w:val="center"/>
          </w:tcPr>
          <w:p>
            <w:pPr>
              <w:rPr>
                <w:rFonts w:hint="default" w:ascii="仿宋_GB2312" w:hAnsi="仿宋" w:eastAsia="仿宋_GB2312"/>
                <w:color w:val="000000"/>
                <w:sz w:val="18"/>
                <w:szCs w:val="18"/>
                <w:lang w:val="en-US" w:eastAsia="zh-CN"/>
              </w:rPr>
            </w:pPr>
            <w:r>
              <w:rPr>
                <w:rFonts w:hint="eastAsia" w:ascii="仿宋_GB2312" w:hAnsi="仿宋" w:eastAsia="仿宋_GB2312"/>
                <w:color w:val="000000"/>
                <w:sz w:val="18"/>
                <w:szCs w:val="18"/>
                <w:lang w:val="en-US" w:eastAsia="zh-CN"/>
              </w:rPr>
              <w:t>1月31日之前公布上一年度报告</w:t>
            </w:r>
          </w:p>
        </w:tc>
        <w:tc>
          <w:tcPr>
            <w:tcW w:w="1544"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lang w:val="en-US" w:eastAsia="zh-CN"/>
              </w:rPr>
              <w:t>准格尔旗民族事务委员会</w:t>
            </w:r>
          </w:p>
        </w:tc>
        <w:tc>
          <w:tcPr>
            <w:tcW w:w="1516" w:type="dxa"/>
            <w:shd w:val="clear" w:color="auto" w:fill="auto"/>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微信公众号</w:t>
            </w:r>
          </w:p>
          <w:p>
            <w:pPr>
              <w:rPr>
                <w:rFonts w:hint="eastAsia" w:ascii="仿宋_GB2312" w:hAnsi="仿宋" w:eastAsia="仿宋_GB2312"/>
                <w:color w:val="000000"/>
                <w:sz w:val="18"/>
                <w:szCs w:val="18"/>
              </w:rPr>
            </w:pPr>
          </w:p>
        </w:tc>
        <w:tc>
          <w:tcPr>
            <w:tcW w:w="540"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09"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6" w:hRule="exact"/>
        </w:trPr>
        <w:tc>
          <w:tcPr>
            <w:tcW w:w="540" w:type="dxa"/>
            <w:vMerge w:val="restart"/>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3</w:t>
            </w:r>
          </w:p>
        </w:tc>
        <w:tc>
          <w:tcPr>
            <w:tcW w:w="683" w:type="dxa"/>
            <w:vMerge w:val="restart"/>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推进和指导全旗蒙古语文工作</w:t>
            </w:r>
          </w:p>
        </w:tc>
        <w:tc>
          <w:tcPr>
            <w:tcW w:w="757"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rPr>
              <w:t>政务公开制度</w:t>
            </w:r>
          </w:p>
        </w:tc>
        <w:tc>
          <w:tcPr>
            <w:tcW w:w="234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全文公开</w:t>
            </w:r>
          </w:p>
        </w:tc>
        <w:tc>
          <w:tcPr>
            <w:tcW w:w="252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信息形成或者变更之日起20个工作日内</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lang w:val="en-US" w:eastAsia="zh-CN"/>
              </w:rPr>
              <w:t>准格尔旗民族事务委员会</w:t>
            </w:r>
          </w:p>
        </w:tc>
        <w:tc>
          <w:tcPr>
            <w:tcW w:w="1516" w:type="dxa"/>
            <w:shd w:val="clear" w:color="auto" w:fill="auto"/>
            <w:vAlign w:val="center"/>
          </w:tcPr>
          <w:p>
            <w:pPr>
              <w:jc w:val="left"/>
              <w:rPr>
                <w:rFonts w:hint="eastAsia" w:ascii="仿宋_GB2312" w:hAnsi="仿宋" w:eastAsia="仿宋_GB2312"/>
                <w:color w:val="000000"/>
                <w:sz w:val="18"/>
                <w:szCs w:val="18"/>
              </w:rPr>
            </w:pPr>
          </w:p>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   ■</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p>
            <w:pPr>
              <w:jc w:val="left"/>
              <w:rPr>
                <w:rFonts w:hint="eastAsia" w:ascii="仿宋_GB2312" w:hAnsi="仿宋" w:eastAsia="仿宋_GB2312"/>
                <w:color w:val="000000"/>
                <w:sz w:val="18"/>
                <w:szCs w:val="18"/>
              </w:rPr>
            </w:pPr>
          </w:p>
          <w:p>
            <w:pPr>
              <w:jc w:val="left"/>
              <w:rPr>
                <w:rFonts w:hint="eastAsia" w:ascii="仿宋_GB2312" w:hAnsi="仿宋" w:eastAsia="仿宋_GB2312" w:cs="宋体"/>
                <w:color w:val="000000"/>
                <w:kern w:val="2"/>
                <w:sz w:val="18"/>
                <w:szCs w:val="18"/>
                <w:lang w:val="en-US" w:eastAsia="zh-CN" w:bidi="ar-SA"/>
              </w:rPr>
            </w:pP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6" w:hRule="exac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政府信息公开年度报告</w:t>
            </w:r>
          </w:p>
        </w:tc>
        <w:tc>
          <w:tcPr>
            <w:tcW w:w="234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总体情况（包括年度政务公开要点落实情况）；主动公开政府信息的情况(表格）；；收到和处理政府信息公开申请的情况（表格）；因政府信息公开工作被申请行政复议、提起行政诉讼的情况（表格）；存在的主要问题及改进情况；其他需要报告的事项等</w:t>
            </w:r>
          </w:p>
        </w:tc>
        <w:tc>
          <w:tcPr>
            <w:tcW w:w="2520" w:type="dxa"/>
            <w:shd w:val="clear" w:color="auto" w:fill="auto"/>
            <w:vAlign w:val="center"/>
          </w:tcPr>
          <w:p>
            <w:pP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、国务院办公厅政府信息与政务公开办公室关于政府信息公开工作年度报告有关事项的通知（国办公开办函〔2019〕60号）《</w:t>
            </w:r>
            <w:r>
              <w:rPr>
                <w:rFonts w:hint="eastAsia" w:ascii="仿宋_GB2312" w:hAnsi="宋体" w:eastAsia="仿宋_GB2312"/>
                <w:color w:val="000000"/>
                <w:sz w:val="18"/>
                <w:szCs w:val="18"/>
                <w:lang w:val="en-US" w:eastAsia="zh-CN"/>
              </w:rPr>
              <w:t>国务院2020年政务公开工作要点》等</w:t>
            </w:r>
          </w:p>
        </w:tc>
        <w:tc>
          <w:tcPr>
            <w:tcW w:w="1620" w:type="dxa"/>
            <w:shd w:val="clear" w:color="auto" w:fill="auto"/>
            <w:vAlign w:val="center"/>
          </w:tcPr>
          <w:p>
            <w:pPr>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olor w:val="000000"/>
                <w:sz w:val="18"/>
                <w:szCs w:val="18"/>
                <w:lang w:val="en-US" w:eastAsia="zh-CN"/>
              </w:rPr>
              <w:t>3</w:t>
            </w:r>
            <w:r>
              <w:rPr>
                <w:rFonts w:hint="eastAsia" w:ascii="仿宋_GB2312" w:hAnsi="仿宋" w:eastAsia="仿宋_GB2312"/>
                <w:color w:val="000000"/>
                <w:sz w:val="18"/>
                <w:szCs w:val="18"/>
              </w:rPr>
              <w:t>月31日之前公</w:t>
            </w:r>
            <w:r>
              <w:rPr>
                <w:rFonts w:hint="eastAsia" w:ascii="仿宋_GB2312" w:hAnsi="仿宋" w:eastAsia="仿宋_GB2312"/>
                <w:color w:val="000000"/>
                <w:sz w:val="18"/>
                <w:szCs w:val="18"/>
                <w:lang w:val="en-US" w:eastAsia="zh-CN"/>
              </w:rPr>
              <w:t>布</w:t>
            </w:r>
            <w:r>
              <w:rPr>
                <w:rFonts w:hint="eastAsia" w:ascii="仿宋_GB2312" w:hAnsi="仿宋" w:eastAsia="仿宋_GB2312"/>
                <w:color w:val="000000"/>
                <w:sz w:val="18"/>
                <w:szCs w:val="18"/>
              </w:rPr>
              <w:t>上一年度报告</w:t>
            </w:r>
          </w:p>
        </w:tc>
        <w:tc>
          <w:tcPr>
            <w:tcW w:w="1544" w:type="dxa"/>
            <w:shd w:val="clear" w:color="auto" w:fill="auto"/>
            <w:vAlign w:val="center"/>
          </w:tcPr>
          <w:p>
            <w:pPr>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olor w:val="000000"/>
                <w:sz w:val="18"/>
                <w:szCs w:val="18"/>
                <w:lang w:val="en-US" w:eastAsia="zh-CN"/>
              </w:rPr>
              <w:t>准格尔旗民族事务委员会</w:t>
            </w:r>
          </w:p>
        </w:tc>
        <w:tc>
          <w:tcPr>
            <w:tcW w:w="1516" w:type="dxa"/>
            <w:shd w:val="clear" w:color="auto" w:fill="auto"/>
            <w:vAlign w:val="center"/>
          </w:tcPr>
          <w:p>
            <w:pPr>
              <w:rPr>
                <w:rFonts w:hint="eastAsia" w:ascii="仿宋_GB2312" w:hAnsi="仿宋" w:eastAsia="仿宋_GB2312"/>
                <w:color w:val="000000"/>
                <w:sz w:val="18"/>
                <w:szCs w:val="18"/>
              </w:rPr>
            </w:pPr>
          </w:p>
          <w:p>
            <w:pPr>
              <w:rPr>
                <w:rFonts w:hint="eastAsia" w:ascii="仿宋_GB2312" w:hAnsi="仿宋" w:eastAsia="仿宋_GB2312"/>
                <w:color w:val="000000"/>
                <w:sz w:val="18"/>
                <w:szCs w:val="18"/>
              </w:rPr>
            </w:pPr>
          </w:p>
          <w:p>
            <w:pPr>
              <w:rPr>
                <w:rFonts w:hint="eastAsia" w:ascii="仿宋_GB2312" w:hAnsi="仿宋" w:eastAsia="仿宋_GB2312"/>
                <w:color w:val="000000"/>
                <w:sz w:val="18"/>
                <w:szCs w:val="18"/>
              </w:rPr>
            </w:pP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val="en-US" w:eastAsia="zh-CN"/>
              </w:rPr>
              <w:t>微信公众号</w:t>
            </w:r>
            <w:r>
              <w:rPr>
                <w:rFonts w:hint="eastAsia" w:ascii="仿宋_GB2312" w:hAnsi="仿宋" w:eastAsia="仿宋_GB2312"/>
                <w:color w:val="000000"/>
                <w:sz w:val="18"/>
                <w:szCs w:val="18"/>
              </w:rPr>
              <w:t xml:space="preserve"> </w:t>
            </w:r>
          </w:p>
          <w:p>
            <w:pPr>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p>
          <w:p>
            <w:pPr>
              <w:rPr>
                <w:rFonts w:hint="default" w:ascii="仿宋_GB2312" w:hAnsi="仿宋" w:eastAsia="仿宋_GB2312"/>
                <w:color w:val="000000"/>
                <w:sz w:val="18"/>
                <w:szCs w:val="18"/>
                <w:lang w:val="en-US"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val="en-US" w:eastAsia="zh-CN"/>
              </w:rPr>
              <w:t>政府公报</w:t>
            </w:r>
          </w:p>
          <w:p>
            <w:pPr>
              <w:rPr>
                <w:rFonts w:hint="default" w:ascii="仿宋_GB2312" w:hAnsi="仿宋" w:eastAsia="仿宋_GB2312"/>
                <w:color w:val="000000"/>
                <w:sz w:val="18"/>
                <w:szCs w:val="18"/>
                <w:lang w:val="en-US" w:eastAsia="zh-CN"/>
              </w:rPr>
            </w:pPr>
          </w:p>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  </w:t>
            </w:r>
          </w:p>
          <w:p>
            <w:pPr>
              <w:jc w:val="left"/>
              <w:rPr>
                <w:rFonts w:hint="eastAsia" w:ascii="仿宋_GB2312" w:hAnsi="仿宋" w:eastAsia="仿宋_GB2312" w:cs="Times New Roman"/>
                <w:color w:val="000000"/>
                <w:kern w:val="2"/>
                <w:sz w:val="18"/>
                <w:szCs w:val="18"/>
                <w:lang w:val="en-US" w:eastAsia="zh-CN" w:bidi="ar-SA"/>
              </w:rPr>
            </w:pP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default"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依申请公开告知事项</w:t>
            </w:r>
          </w:p>
        </w:tc>
        <w:tc>
          <w:tcPr>
            <w:tcW w:w="234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依申请公开受理表、告知书、受理流程等</w:t>
            </w:r>
          </w:p>
        </w:tc>
        <w:tc>
          <w:tcPr>
            <w:tcW w:w="2520" w:type="dxa"/>
            <w:shd w:val="clear" w:color="auto" w:fill="auto"/>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olor w:val="000000"/>
                <w:sz w:val="18"/>
                <w:szCs w:val="18"/>
                <w:lang w:val="en-US" w:eastAsia="zh-CN"/>
              </w:rPr>
              <w:t>实时公开</w:t>
            </w:r>
          </w:p>
        </w:tc>
        <w:tc>
          <w:tcPr>
            <w:tcW w:w="1544" w:type="dxa"/>
            <w:shd w:val="clear" w:color="auto" w:fill="auto"/>
            <w:vAlign w:val="center"/>
          </w:tcPr>
          <w:p>
            <w:pPr>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olor w:val="000000"/>
                <w:sz w:val="18"/>
                <w:szCs w:val="18"/>
                <w:lang w:val="en-US" w:eastAsia="zh-CN"/>
              </w:rPr>
              <w:t>准格尔旗民族事务委员会</w:t>
            </w:r>
          </w:p>
        </w:tc>
        <w:tc>
          <w:tcPr>
            <w:tcW w:w="1516"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jc w:val="left"/>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1" w:hRule="exac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咨询</w:t>
            </w:r>
          </w:p>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投诉</w:t>
            </w:r>
          </w:p>
        </w:tc>
        <w:tc>
          <w:tcPr>
            <w:tcW w:w="2340" w:type="dxa"/>
            <w:shd w:val="clear" w:color="auto" w:fill="auto"/>
            <w:vAlign w:val="center"/>
          </w:tcPr>
          <w:p>
            <w:pPr>
              <w:rPr>
                <w:rFonts w:hint="default"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咨询投诉、举报、监督电话等</w:t>
            </w:r>
          </w:p>
        </w:tc>
        <w:tc>
          <w:tcPr>
            <w:tcW w:w="2520" w:type="dxa"/>
            <w:shd w:val="clear" w:color="auto" w:fill="auto"/>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olor w:val="000000"/>
                <w:sz w:val="18"/>
                <w:szCs w:val="18"/>
                <w:lang w:val="en-US" w:eastAsia="zh-CN"/>
              </w:rPr>
              <w:t>实时公开</w:t>
            </w:r>
          </w:p>
        </w:tc>
        <w:tc>
          <w:tcPr>
            <w:tcW w:w="1544" w:type="dxa"/>
            <w:shd w:val="clear" w:color="auto" w:fill="auto"/>
            <w:vAlign w:val="center"/>
          </w:tcPr>
          <w:p>
            <w:pPr>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olor w:val="000000"/>
                <w:sz w:val="18"/>
                <w:szCs w:val="18"/>
                <w:lang w:val="en-US" w:eastAsia="zh-CN"/>
              </w:rPr>
              <w:t>准格尔旗民族事务委员会</w:t>
            </w:r>
          </w:p>
        </w:tc>
        <w:tc>
          <w:tcPr>
            <w:tcW w:w="1516"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default" w:ascii="仿宋_GB2312" w:hAnsi="仿宋" w:eastAsia="仿宋_GB2312"/>
                <w:color w:val="000000"/>
                <w:sz w:val="18"/>
                <w:szCs w:val="18"/>
                <w:lang w:val="en-US"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val="en-US" w:eastAsia="zh-CN"/>
              </w:rPr>
              <w:t>公开查阅点</w:t>
            </w:r>
          </w:p>
          <w:p>
            <w:pPr>
              <w:jc w:val="left"/>
              <w:rPr>
                <w:rFonts w:hint="eastAsia" w:ascii="仿宋_GB2312" w:hAnsi="仿宋" w:eastAsia="仿宋_GB2312" w:cs="Times New Roman"/>
                <w:color w:val="000000"/>
                <w:kern w:val="2"/>
                <w:sz w:val="18"/>
                <w:szCs w:val="18"/>
                <w:lang w:val="en-US" w:eastAsia="zh-CN" w:bidi="ar-SA"/>
              </w:rPr>
            </w:pP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r>
    </w:tbl>
    <w:tbl>
      <w:tblPr>
        <w:tblStyle w:val="5"/>
        <w:tblpPr w:leftFromText="180" w:rightFromText="180" w:vertAnchor="text" w:tblpX="15812" w:tblpY="-12887"/>
        <w:tblOverlap w:val="never"/>
        <w:tblW w:w="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76" w:type="dxa"/>
          </w:tcPr>
          <w:p>
            <w:pPr>
              <w:rPr>
                <w:vertAlign w:val="baseline"/>
              </w:rPr>
            </w:pPr>
          </w:p>
        </w:tc>
      </w:tr>
    </w:tbl>
    <w:p/>
    <w:p>
      <w:pPr>
        <w:rPr>
          <w:rFonts w:hint="eastAsia"/>
        </w:rPr>
      </w:pPr>
      <w:r>
        <w:rPr>
          <w:rFonts w:hint="eastAsia"/>
        </w:rPr>
        <w:t xml:space="preserve">   </w:t>
      </w:r>
    </w:p>
    <w:tbl>
      <w:tblPr>
        <w:tblStyle w:val="4"/>
        <w:tblpPr w:leftFromText="180" w:rightFromText="180" w:vertAnchor="text" w:horzAnchor="page" w:tblpX="1449" w:tblpY="150"/>
        <w:tblOverlap w:val="never"/>
        <w:tblW w:w="143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683"/>
        <w:gridCol w:w="757"/>
        <w:gridCol w:w="2340"/>
        <w:gridCol w:w="2520"/>
        <w:gridCol w:w="1620"/>
        <w:gridCol w:w="1544"/>
        <w:gridCol w:w="1516"/>
        <w:gridCol w:w="540"/>
        <w:gridCol w:w="709"/>
        <w:gridCol w:w="551"/>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6" w:hRule="exact"/>
        </w:trPr>
        <w:tc>
          <w:tcPr>
            <w:tcW w:w="540" w:type="dxa"/>
            <w:vMerge w:val="restart"/>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4</w:t>
            </w:r>
          </w:p>
        </w:tc>
        <w:tc>
          <w:tcPr>
            <w:tcW w:w="683" w:type="dxa"/>
            <w:vMerge w:val="restart"/>
            <w:vAlign w:val="center"/>
          </w:tcPr>
          <w:p>
            <w:pPr>
              <w:rPr>
                <w:rFonts w:ascii="仿宋_GB2312" w:hAnsi="宋体" w:eastAsia="仿宋_GB2312" w:cs="仿宋_GB2312"/>
                <w:b w:val="0"/>
                <w:i w:val="0"/>
                <w:caps w:val="0"/>
                <w:color w:val="000000"/>
                <w:spacing w:val="0"/>
                <w:sz w:val="18"/>
                <w:szCs w:val="18"/>
                <w:shd w:val="clear" w:fill="FFFFFF"/>
              </w:rPr>
            </w:pPr>
            <w:r>
              <w:rPr>
                <w:rFonts w:ascii="仿宋_GB2312" w:hAnsi="宋体" w:eastAsia="仿宋_GB2312" w:cs="仿宋_GB2312"/>
                <w:b w:val="0"/>
                <w:i w:val="0"/>
                <w:caps w:val="0"/>
                <w:color w:val="000000"/>
                <w:spacing w:val="0"/>
                <w:sz w:val="18"/>
                <w:szCs w:val="18"/>
                <w:shd w:val="clear" w:fill="FFFFFF"/>
              </w:rPr>
              <w:t>统筹推进民族工作</w:t>
            </w:r>
          </w:p>
          <w:p>
            <w:pPr>
              <w:rPr>
                <w:rFonts w:hint="eastAsia" w:ascii="仿宋_GB2312" w:hAnsi="宋体" w:eastAsia="仿宋_GB2312" w:cs="仿宋_GB2312"/>
                <w:b w:val="0"/>
                <w:i w:val="0"/>
                <w:caps w:val="0"/>
                <w:color w:val="000000"/>
                <w:spacing w:val="0"/>
                <w:sz w:val="18"/>
                <w:szCs w:val="18"/>
                <w:shd w:val="clear" w:fill="FFFFFF"/>
              </w:rPr>
            </w:pPr>
          </w:p>
        </w:tc>
        <w:tc>
          <w:tcPr>
            <w:tcW w:w="757" w:type="dxa"/>
            <w:shd w:val="clear" w:color="auto" w:fill="auto"/>
            <w:vAlign w:val="center"/>
          </w:tcPr>
          <w:p>
            <w:pPr>
              <w:rPr>
                <w:rFonts w:ascii="微软雅黑" w:hAnsi="微软雅黑" w:eastAsia="微软雅黑" w:cs="微软雅黑"/>
                <w:b w:val="0"/>
                <w:i w:val="0"/>
                <w:caps w:val="0"/>
                <w:color w:val="000000"/>
                <w:spacing w:val="0"/>
                <w:sz w:val="21"/>
                <w:szCs w:val="21"/>
                <w:shd w:val="clear" w:fill="FFFFFF"/>
              </w:rPr>
            </w:pPr>
            <w:r>
              <w:rPr>
                <w:rFonts w:ascii="微软雅黑" w:hAnsi="微软雅黑" w:eastAsia="微软雅黑" w:cs="微软雅黑"/>
                <w:b w:val="0"/>
                <w:i w:val="0"/>
                <w:caps w:val="0"/>
                <w:color w:val="000000"/>
                <w:spacing w:val="0"/>
                <w:sz w:val="21"/>
                <w:szCs w:val="21"/>
                <w:shd w:val="clear" w:fill="FFFFFF"/>
              </w:rPr>
              <w:t>　</w:t>
            </w:r>
            <w:r>
              <w:rPr>
                <w:rFonts w:hint="eastAsia" w:ascii="微软雅黑" w:hAnsi="微软雅黑" w:eastAsia="微软雅黑" w:cs="微软雅黑"/>
                <w:b w:val="0"/>
                <w:i w:val="0"/>
                <w:caps w:val="0"/>
                <w:color w:val="000000"/>
                <w:spacing w:val="0"/>
                <w:sz w:val="21"/>
                <w:szCs w:val="21"/>
                <w:shd w:val="clear" w:fill="FFFFFF"/>
              </w:rPr>
              <w:t>　</w:t>
            </w:r>
            <w:r>
              <w:rPr>
                <w:rFonts w:ascii="仿宋_GB2312" w:hAnsi="宋体" w:eastAsia="仿宋_GB2312" w:cs="仿宋_GB2312"/>
                <w:b w:val="0"/>
                <w:i w:val="0"/>
                <w:caps w:val="0"/>
                <w:color w:val="000000"/>
                <w:spacing w:val="0"/>
                <w:sz w:val="18"/>
                <w:szCs w:val="18"/>
                <w:shd w:val="clear" w:fill="FFFFFF"/>
              </w:rPr>
              <w:t>财务</w:t>
            </w:r>
            <w:r>
              <w:rPr>
                <w:rFonts w:ascii="微软雅黑" w:hAnsi="微软雅黑" w:eastAsia="微软雅黑" w:cs="微软雅黑"/>
                <w:b w:val="0"/>
                <w:i w:val="0"/>
                <w:caps w:val="0"/>
                <w:color w:val="000000"/>
                <w:spacing w:val="0"/>
                <w:sz w:val="21"/>
                <w:szCs w:val="21"/>
                <w:shd w:val="clear" w:fill="FFFFFF"/>
              </w:rPr>
              <w:t>　　</w:t>
            </w:r>
            <w:r>
              <w:rPr>
                <w:rFonts w:hint="default" w:ascii="仿宋_GB2312" w:hAnsi="宋体" w:eastAsia="仿宋_GB2312" w:cs="仿宋_GB2312"/>
                <w:b w:val="0"/>
                <w:i w:val="0"/>
                <w:caps w:val="0"/>
                <w:color w:val="000000"/>
                <w:spacing w:val="0"/>
                <w:sz w:val="18"/>
                <w:szCs w:val="18"/>
                <w:shd w:val="clear" w:fill="FFFFFF"/>
              </w:rPr>
              <w:t>公开</w:t>
            </w:r>
            <w:r>
              <w:rPr>
                <w:rFonts w:hint="eastAsia" w:ascii="微软雅黑" w:hAnsi="微软雅黑" w:eastAsia="微软雅黑" w:cs="微软雅黑"/>
                <w:b w:val="0"/>
                <w:i w:val="0"/>
                <w:caps w:val="0"/>
                <w:color w:val="000000"/>
                <w:spacing w:val="0"/>
                <w:sz w:val="21"/>
                <w:szCs w:val="21"/>
                <w:shd w:val="clear" w:fill="FFFFFF"/>
              </w:rPr>
              <w:t>　</w:t>
            </w:r>
            <w:r>
              <w:rPr>
                <w:rFonts w:ascii="微软雅黑" w:hAnsi="微软雅黑" w:eastAsia="微软雅黑" w:cs="微软雅黑"/>
                <w:b w:val="0"/>
                <w:i w:val="0"/>
                <w:caps w:val="0"/>
                <w:color w:val="000000"/>
                <w:spacing w:val="0"/>
                <w:sz w:val="21"/>
                <w:szCs w:val="21"/>
                <w:shd w:val="clear" w:fill="FFFFFF"/>
              </w:rPr>
              <w:t>　</w:t>
            </w: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kern w:val="2"/>
                <w:sz w:val="18"/>
                <w:szCs w:val="18"/>
                <w:lang w:val="en-US" w:eastAsia="zh-CN" w:bidi="ar-SA"/>
              </w:rPr>
            </w:pPr>
          </w:p>
        </w:tc>
        <w:tc>
          <w:tcPr>
            <w:tcW w:w="2340" w:type="dxa"/>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b w:val="0"/>
                <w:i w:val="0"/>
                <w:caps w:val="0"/>
                <w:color w:val="000000"/>
                <w:spacing w:val="0"/>
                <w:sz w:val="18"/>
                <w:szCs w:val="18"/>
              </w:rPr>
            </w:pPr>
            <w:r>
              <w:rPr>
                <w:rFonts w:hint="eastAsia" w:ascii="仿宋" w:hAnsi="仿宋" w:eastAsia="仿宋" w:cs="仿宋"/>
                <w:b w:val="0"/>
                <w:i w:val="0"/>
                <w:caps w:val="0"/>
                <w:color w:val="000000"/>
                <w:spacing w:val="0"/>
                <w:sz w:val="18"/>
                <w:szCs w:val="18"/>
              </w:rPr>
              <w:t>市级、自治区、中央少数民族发展资金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shd w:val="clear" w:fill="FFFFFF"/>
              </w:rPr>
              <w:t>　　</w:t>
            </w:r>
            <w:r>
              <w:rPr>
                <w:rFonts w:hint="default" w:ascii="仿宋_GB2312" w:hAnsi="微软雅黑" w:eastAsia="仿宋_GB2312" w:cs="仿宋_GB2312"/>
                <w:b w:val="0"/>
                <w:i w:val="0"/>
                <w:caps w:val="0"/>
                <w:color w:val="000000"/>
                <w:spacing w:val="0"/>
                <w:sz w:val="18"/>
                <w:szCs w:val="18"/>
                <w:shd w:val="clear" w:fill="FFFFFF"/>
              </w:rPr>
              <w:t> </w:t>
            </w:r>
          </w:p>
          <w:p>
            <w:pPr>
              <w:rPr>
                <w:rFonts w:hint="eastAsia" w:ascii="仿宋_GB2312" w:hAnsi="宋体" w:eastAsia="仿宋_GB2312" w:cs="宋体"/>
                <w:color w:val="000000"/>
                <w:kern w:val="2"/>
                <w:sz w:val="18"/>
                <w:szCs w:val="18"/>
                <w:lang w:val="en-US" w:eastAsia="zh-CN" w:bidi="ar-SA"/>
              </w:rPr>
            </w:pPr>
          </w:p>
        </w:tc>
        <w:tc>
          <w:tcPr>
            <w:tcW w:w="252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kern w:val="2"/>
                <w:sz w:val="18"/>
                <w:szCs w:val="18"/>
                <w:lang w:val="en-US" w:eastAsia="zh-CN" w:bidi="ar-SA"/>
              </w:rPr>
              <w:t>《预算法》、《政府信息公开条例》、财政部、国家民族事务委员会关于印发《少数民族发展资金管理办法》的通知、内蒙古自治区财政厅、民族事务委员会关于印发《内蒙古自治区少数民族发展资金使用管理实施办法》的通知、鄂尔多斯市人民政府关于印发鄂尔多斯市财政专项扶贫资金管理办法（试行）、关于进一步规范少数民族发展资金管理工作的有关通知</w:t>
            </w:r>
          </w:p>
        </w:tc>
        <w:tc>
          <w:tcPr>
            <w:tcW w:w="1620" w:type="dxa"/>
            <w:shd w:val="clear" w:color="auto" w:fill="auto"/>
            <w:vAlign w:val="center"/>
          </w:tcPr>
          <w:p>
            <w:pPr>
              <w:ind w:firstLine="360" w:firstLineChars="200"/>
              <w:jc w:val="left"/>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kern w:val="2"/>
                <w:sz w:val="18"/>
                <w:szCs w:val="18"/>
                <w:lang w:val="en-US" w:eastAsia="zh-CN" w:bidi="ar-SA"/>
              </w:rPr>
              <w:t>实时公开</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lang w:val="en-US" w:eastAsia="zh-CN"/>
              </w:rPr>
              <w:t>准格尔旗民族事务委员会</w:t>
            </w:r>
          </w:p>
        </w:tc>
        <w:tc>
          <w:tcPr>
            <w:tcW w:w="1516" w:type="dxa"/>
            <w:shd w:val="clear" w:color="auto" w:fill="auto"/>
            <w:vAlign w:val="center"/>
          </w:tcPr>
          <w:p>
            <w:pPr>
              <w:jc w:val="left"/>
              <w:rPr>
                <w:rFonts w:hint="eastAsia" w:ascii="仿宋_GB2312" w:hAnsi="仿宋" w:eastAsia="仿宋_GB2312"/>
                <w:color w:val="000000"/>
                <w:sz w:val="18"/>
                <w:szCs w:val="18"/>
              </w:rPr>
            </w:pPr>
          </w:p>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   ■</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p>
            <w:pPr>
              <w:jc w:val="left"/>
              <w:rPr>
                <w:rFonts w:hint="eastAsia" w:ascii="仿宋_GB2312" w:hAnsi="仿宋" w:eastAsia="仿宋_GB2312"/>
                <w:color w:val="000000"/>
                <w:sz w:val="18"/>
                <w:szCs w:val="18"/>
              </w:rPr>
            </w:pPr>
          </w:p>
          <w:p>
            <w:pPr>
              <w:jc w:val="left"/>
              <w:rPr>
                <w:rFonts w:hint="eastAsia" w:ascii="仿宋_GB2312" w:hAnsi="仿宋" w:eastAsia="仿宋_GB2312" w:cs="宋体"/>
                <w:color w:val="000000"/>
                <w:kern w:val="2"/>
                <w:sz w:val="18"/>
                <w:szCs w:val="18"/>
                <w:lang w:val="en-US" w:eastAsia="zh-CN" w:bidi="ar-SA"/>
              </w:rPr>
            </w:pP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6" w:hRule="exac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ascii="微软雅黑" w:hAnsi="微软雅黑" w:eastAsia="微软雅黑" w:cs="微软雅黑"/>
                <w:b w:val="0"/>
                <w:i w:val="0"/>
                <w:caps w:val="0"/>
                <w:color w:val="000000"/>
                <w:spacing w:val="0"/>
                <w:sz w:val="21"/>
                <w:szCs w:val="21"/>
                <w:shd w:val="clear" w:fill="FFFFFF"/>
              </w:rPr>
              <w:t>　　</w:t>
            </w:r>
            <w:r>
              <w:rPr>
                <w:rFonts w:ascii="仿宋_GB2312" w:hAnsi="宋体" w:eastAsia="仿宋_GB2312" w:cs="仿宋_GB2312"/>
                <w:b w:val="0"/>
                <w:i w:val="0"/>
                <w:caps w:val="0"/>
                <w:color w:val="000000"/>
                <w:spacing w:val="0"/>
                <w:sz w:val="18"/>
                <w:szCs w:val="18"/>
                <w:shd w:val="clear" w:fill="FFFFFF"/>
              </w:rPr>
              <w:t>通知</w:t>
            </w:r>
            <w:r>
              <w:rPr>
                <w:rFonts w:hint="eastAsia" w:ascii="微软雅黑" w:hAnsi="微软雅黑" w:eastAsia="微软雅黑" w:cs="微软雅黑"/>
                <w:b w:val="0"/>
                <w:i w:val="0"/>
                <w:caps w:val="0"/>
                <w:color w:val="000000"/>
                <w:spacing w:val="0"/>
                <w:sz w:val="21"/>
                <w:szCs w:val="21"/>
                <w:shd w:val="clear" w:fill="FFFFFF"/>
              </w:rPr>
              <w:t>　　</w:t>
            </w:r>
            <w:r>
              <w:rPr>
                <w:rFonts w:hint="default" w:ascii="仿宋_GB2312" w:hAnsi="宋体" w:eastAsia="仿宋_GB2312" w:cs="仿宋_GB2312"/>
                <w:b w:val="0"/>
                <w:i w:val="0"/>
                <w:caps w:val="0"/>
                <w:color w:val="000000"/>
                <w:spacing w:val="0"/>
                <w:sz w:val="18"/>
                <w:szCs w:val="18"/>
                <w:shd w:val="clear" w:fill="FFFFFF"/>
              </w:rPr>
              <w:t>公告</w:t>
            </w:r>
          </w:p>
        </w:tc>
        <w:tc>
          <w:tcPr>
            <w:tcW w:w="234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kern w:val="2"/>
                <w:sz w:val="18"/>
                <w:szCs w:val="18"/>
                <w:lang w:val="en-US" w:eastAsia="zh-CN" w:bidi="ar-SA"/>
              </w:rPr>
              <w:t>①精准扶贫产业扶持补贴资金。②老蒙医补助金。③民族教育“三金”④市旗两级贫困户。⑤民族团结进步创建工作。</w:t>
            </w:r>
          </w:p>
        </w:tc>
        <w:tc>
          <w:tcPr>
            <w:tcW w:w="2520" w:type="dxa"/>
            <w:shd w:val="clear" w:color="auto" w:fill="auto"/>
            <w:vAlign w:val="center"/>
          </w:tcPr>
          <w:p>
            <w:pPr>
              <w:rPr>
                <w:rFonts w:hint="default" w:ascii="仿宋_GB2312" w:hAnsi="宋体" w:eastAsia="仿宋_GB2312" w:cs="Times New Roman"/>
                <w:color w:val="000000"/>
                <w:kern w:val="2"/>
                <w:sz w:val="18"/>
                <w:szCs w:val="18"/>
                <w:lang w:val="en-US" w:eastAsia="zh-CN" w:bidi="ar-SA"/>
              </w:rPr>
            </w:pPr>
            <w:r>
              <w:rPr>
                <w:rFonts w:hint="default" w:ascii="仿宋_GB2312" w:hAnsi="宋体" w:eastAsia="仿宋_GB2312" w:cs="Times New Roman"/>
                <w:color w:val="000000"/>
                <w:kern w:val="2"/>
                <w:sz w:val="18"/>
                <w:szCs w:val="18"/>
                <w:lang w:val="en-US" w:eastAsia="zh-CN" w:bidi="ar-SA"/>
              </w:rPr>
              <w:t>《预算法》、《政府信息公开条例》、《关于进一步加强扶贫项目管理的指导意见》、《鄂尔多斯市少数民族贫困救助金暂行管理办法》、《鄂托克前旗少数民族贫困救助金暂行管理办法》</w:t>
            </w:r>
          </w:p>
        </w:tc>
        <w:tc>
          <w:tcPr>
            <w:tcW w:w="1620" w:type="dxa"/>
            <w:shd w:val="clear" w:color="auto" w:fill="auto"/>
            <w:vAlign w:val="center"/>
          </w:tcPr>
          <w:p>
            <w:pPr>
              <w:ind w:firstLine="360" w:firstLineChars="200"/>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s="Times New Roman"/>
                <w:color w:val="000000"/>
                <w:kern w:val="2"/>
                <w:sz w:val="18"/>
                <w:szCs w:val="18"/>
                <w:lang w:val="en-US" w:eastAsia="zh-CN" w:bidi="ar-SA"/>
              </w:rPr>
              <w:t>实时公开</w:t>
            </w:r>
          </w:p>
        </w:tc>
        <w:tc>
          <w:tcPr>
            <w:tcW w:w="1544" w:type="dxa"/>
            <w:shd w:val="clear" w:color="auto" w:fill="auto"/>
            <w:vAlign w:val="center"/>
          </w:tcPr>
          <w:p>
            <w:pPr>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olor w:val="000000"/>
                <w:sz w:val="18"/>
                <w:szCs w:val="18"/>
                <w:lang w:val="en-US" w:eastAsia="zh-CN"/>
              </w:rPr>
              <w:t>准格尔旗民族事务委员会</w:t>
            </w:r>
          </w:p>
        </w:tc>
        <w:tc>
          <w:tcPr>
            <w:tcW w:w="1516" w:type="dxa"/>
            <w:shd w:val="clear" w:color="auto" w:fill="auto"/>
            <w:vAlign w:val="center"/>
          </w:tcPr>
          <w:p>
            <w:pPr>
              <w:rPr>
                <w:rFonts w:hint="eastAsia" w:ascii="仿宋_GB2312" w:hAnsi="仿宋" w:eastAsia="仿宋_GB2312"/>
                <w:color w:val="000000"/>
                <w:sz w:val="18"/>
                <w:szCs w:val="18"/>
              </w:rPr>
            </w:pPr>
          </w:p>
          <w:p>
            <w:pPr>
              <w:rPr>
                <w:rFonts w:hint="eastAsia" w:ascii="仿宋_GB2312" w:hAnsi="仿宋" w:eastAsia="仿宋_GB2312"/>
                <w:color w:val="000000"/>
                <w:sz w:val="18"/>
                <w:szCs w:val="18"/>
              </w:rPr>
            </w:pPr>
          </w:p>
          <w:p>
            <w:pPr>
              <w:rPr>
                <w:rFonts w:hint="eastAsia" w:ascii="仿宋_GB2312" w:hAnsi="仿宋" w:eastAsia="仿宋_GB2312"/>
                <w:color w:val="000000"/>
                <w:sz w:val="18"/>
                <w:szCs w:val="18"/>
              </w:rPr>
            </w:pP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val="en-US" w:eastAsia="zh-CN"/>
              </w:rPr>
              <w:t>微信公众号</w:t>
            </w:r>
            <w:r>
              <w:rPr>
                <w:rFonts w:hint="eastAsia" w:ascii="仿宋_GB2312" w:hAnsi="仿宋" w:eastAsia="仿宋_GB2312"/>
                <w:color w:val="000000"/>
                <w:sz w:val="18"/>
                <w:szCs w:val="18"/>
              </w:rPr>
              <w:t xml:space="preserve"> </w:t>
            </w:r>
          </w:p>
          <w:p>
            <w:pPr>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p>
          <w:p>
            <w:pPr>
              <w:rPr>
                <w:rFonts w:hint="default" w:ascii="仿宋_GB2312" w:hAnsi="仿宋" w:eastAsia="仿宋_GB2312"/>
                <w:color w:val="000000"/>
                <w:sz w:val="18"/>
                <w:szCs w:val="18"/>
                <w:lang w:val="en-US"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val="en-US" w:eastAsia="zh-CN"/>
              </w:rPr>
              <w:t>政府公报</w:t>
            </w:r>
          </w:p>
          <w:p>
            <w:pPr>
              <w:rPr>
                <w:rFonts w:hint="default" w:ascii="仿宋_GB2312" w:hAnsi="仿宋" w:eastAsia="仿宋_GB2312"/>
                <w:color w:val="000000"/>
                <w:sz w:val="18"/>
                <w:szCs w:val="18"/>
                <w:lang w:val="en-US" w:eastAsia="zh-CN"/>
              </w:rPr>
            </w:pPr>
          </w:p>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  </w:t>
            </w:r>
          </w:p>
          <w:p>
            <w:pPr>
              <w:jc w:val="left"/>
              <w:rPr>
                <w:rFonts w:hint="eastAsia" w:ascii="仿宋_GB2312" w:hAnsi="仿宋" w:eastAsia="仿宋_GB2312" w:cs="Times New Roman"/>
                <w:color w:val="000000"/>
                <w:kern w:val="2"/>
                <w:sz w:val="18"/>
                <w:szCs w:val="18"/>
                <w:lang w:val="en-US" w:eastAsia="zh-CN" w:bidi="ar-SA"/>
              </w:rPr>
            </w:pP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0" w:hRule="atLeast"/>
        </w:trPr>
        <w:tc>
          <w:tcPr>
            <w:tcW w:w="540" w:type="dxa"/>
            <w:vMerge w:val="continue"/>
            <w:vAlign w:val="center"/>
          </w:tcPr>
          <w:p>
            <w:pPr>
              <w:jc w:val="center"/>
              <w:rPr>
                <w:rFonts w:hint="eastAsia" w:ascii="仿宋_GB2312" w:hAnsi="宋体" w:eastAsia="仿宋_GB2312" w:cs="宋体"/>
                <w:color w:val="000000"/>
                <w:sz w:val="18"/>
                <w:szCs w:val="18"/>
                <w:lang w:val="en-US" w:eastAsia="zh-CN"/>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default" w:ascii="仿宋_GB2312" w:hAnsi="宋体" w:eastAsia="仿宋_GB2312" w:cs="宋体"/>
                <w:color w:val="000000"/>
                <w:kern w:val="2"/>
                <w:sz w:val="18"/>
                <w:szCs w:val="18"/>
                <w:lang w:val="en-US" w:eastAsia="zh-CN" w:bidi="ar-SA"/>
              </w:rPr>
            </w:pPr>
            <w:r>
              <w:rPr>
                <w:rFonts w:ascii="微软雅黑" w:hAnsi="微软雅黑" w:eastAsia="微软雅黑" w:cs="微软雅黑"/>
                <w:b w:val="0"/>
                <w:i w:val="0"/>
                <w:caps w:val="0"/>
                <w:color w:val="000000"/>
                <w:spacing w:val="0"/>
                <w:sz w:val="21"/>
                <w:szCs w:val="21"/>
                <w:shd w:val="clear" w:fill="FFFFFF"/>
              </w:rPr>
              <w:t>　</w:t>
            </w:r>
            <w:r>
              <w:rPr>
                <w:rFonts w:ascii="仿宋_GB2312" w:hAnsi="宋体" w:eastAsia="仿宋_GB2312" w:cs="仿宋_GB2312"/>
                <w:b w:val="0"/>
                <w:i w:val="0"/>
                <w:caps w:val="0"/>
                <w:color w:val="000000"/>
                <w:spacing w:val="0"/>
                <w:sz w:val="18"/>
                <w:szCs w:val="18"/>
                <w:shd w:val="clear" w:fill="FFFFFF"/>
              </w:rPr>
              <w:t>政务</w:t>
            </w:r>
            <w:r>
              <w:rPr>
                <w:rFonts w:hint="eastAsia" w:ascii="微软雅黑" w:hAnsi="微软雅黑" w:eastAsia="微软雅黑" w:cs="微软雅黑"/>
                <w:b w:val="0"/>
                <w:i w:val="0"/>
                <w:caps w:val="0"/>
                <w:color w:val="000000"/>
                <w:spacing w:val="0"/>
                <w:sz w:val="21"/>
                <w:szCs w:val="21"/>
                <w:shd w:val="clear" w:fill="FFFFFF"/>
              </w:rPr>
              <w:t>　　</w:t>
            </w:r>
            <w:r>
              <w:rPr>
                <w:rFonts w:hint="default" w:ascii="仿宋_GB2312" w:hAnsi="宋体" w:eastAsia="仿宋_GB2312" w:cs="仿宋_GB2312"/>
                <w:b w:val="0"/>
                <w:i w:val="0"/>
                <w:caps w:val="0"/>
                <w:color w:val="000000"/>
                <w:spacing w:val="0"/>
                <w:sz w:val="18"/>
                <w:szCs w:val="18"/>
                <w:shd w:val="clear" w:fill="FFFFFF"/>
              </w:rPr>
              <w:t>信息</w:t>
            </w:r>
          </w:p>
        </w:tc>
        <w:tc>
          <w:tcPr>
            <w:tcW w:w="234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kern w:val="2"/>
                <w:sz w:val="18"/>
                <w:szCs w:val="18"/>
                <w:lang w:val="en-US" w:eastAsia="zh-CN" w:bidi="ar-SA"/>
              </w:rPr>
              <w:t>①民族成份管理工作。②民族文化③创城信息。④民族团结进步创建工作。⑤少数民族人才队伍建设工作。</w:t>
            </w:r>
          </w:p>
        </w:tc>
        <w:tc>
          <w:tcPr>
            <w:tcW w:w="2520" w:type="dxa"/>
            <w:shd w:val="clear" w:color="auto" w:fill="auto"/>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s="Times New Roman"/>
                <w:color w:val="000000"/>
                <w:kern w:val="2"/>
                <w:sz w:val="18"/>
                <w:szCs w:val="18"/>
                <w:lang w:val="en-US" w:eastAsia="zh-CN" w:bidi="ar-SA"/>
              </w:rPr>
              <w:t>《政府信息公开条例》</w:t>
            </w:r>
          </w:p>
        </w:tc>
        <w:tc>
          <w:tcPr>
            <w:tcW w:w="1620" w:type="dxa"/>
            <w:shd w:val="clear" w:color="auto" w:fill="auto"/>
            <w:vAlign w:val="center"/>
          </w:tcPr>
          <w:p>
            <w:pPr>
              <w:ind w:firstLine="360" w:firstLineChars="200"/>
              <w:rPr>
                <w:rFonts w:hint="eastAsia" w:ascii="仿宋_GB2312" w:hAnsi="仿宋" w:eastAsia="仿宋_GB2312" w:cs="Times New Roman"/>
                <w:color w:val="000000"/>
                <w:kern w:val="2"/>
                <w:sz w:val="18"/>
                <w:szCs w:val="18"/>
                <w:lang w:val="en-US" w:eastAsia="zh-CN" w:bidi="ar-SA"/>
              </w:rPr>
            </w:pPr>
            <w:r>
              <w:rPr>
                <w:rFonts w:ascii="仿宋_GB2312" w:hAnsi="宋体" w:eastAsia="仿宋_GB2312" w:cs="仿宋_GB2312"/>
                <w:b w:val="0"/>
                <w:i w:val="0"/>
                <w:caps w:val="0"/>
                <w:color w:val="000000"/>
                <w:spacing w:val="0"/>
                <w:sz w:val="18"/>
                <w:szCs w:val="18"/>
                <w:shd w:val="clear" w:fill="FFFFFF"/>
              </w:rPr>
              <w:t>实时公开</w:t>
            </w:r>
          </w:p>
        </w:tc>
        <w:tc>
          <w:tcPr>
            <w:tcW w:w="1544" w:type="dxa"/>
            <w:shd w:val="clear" w:color="auto" w:fill="auto"/>
            <w:vAlign w:val="center"/>
          </w:tcPr>
          <w:p>
            <w:pPr>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olor w:val="000000"/>
                <w:sz w:val="18"/>
                <w:szCs w:val="18"/>
                <w:lang w:val="en-US" w:eastAsia="zh-CN"/>
              </w:rPr>
              <w:t>准格尔旗民族事务委员会</w:t>
            </w:r>
          </w:p>
        </w:tc>
        <w:tc>
          <w:tcPr>
            <w:tcW w:w="1516"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jc w:val="left"/>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8" w:hRule="atLeast"/>
        </w:trPr>
        <w:tc>
          <w:tcPr>
            <w:tcW w:w="540" w:type="dxa"/>
            <w:vMerge w:val="restart"/>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5</w:t>
            </w:r>
          </w:p>
        </w:tc>
        <w:tc>
          <w:tcPr>
            <w:tcW w:w="683" w:type="dxa"/>
            <w:vMerge w:val="restart"/>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推进和指导全旗蒙古语文工作</w:t>
            </w:r>
          </w:p>
        </w:tc>
        <w:tc>
          <w:tcPr>
            <w:tcW w:w="757" w:type="dxa"/>
            <w:shd w:val="clear" w:color="auto" w:fill="auto"/>
            <w:vAlign w:val="center"/>
          </w:tcPr>
          <w:p>
            <w:pPr>
              <w:rPr>
                <w:rFonts w:hint="default" w:ascii="仿宋_GB2312" w:hAnsi="宋体" w:eastAsia="仿宋_GB2312" w:cs="宋体"/>
                <w:color w:val="000000"/>
                <w:sz w:val="18"/>
                <w:szCs w:val="18"/>
                <w:lang w:val="en-US" w:eastAsia="zh-CN"/>
              </w:rPr>
            </w:pPr>
            <w:r>
              <w:rPr>
                <w:rFonts w:hint="default" w:ascii="仿宋_GB2312" w:hAnsi="宋体" w:eastAsia="仿宋_GB2312" w:cs="宋体"/>
                <w:color w:val="000000"/>
                <w:sz w:val="18"/>
                <w:szCs w:val="18"/>
                <w:lang w:val="en-US" w:eastAsia="zh-CN"/>
              </w:rPr>
              <w:t>　　通知　　公告</w:t>
            </w:r>
          </w:p>
        </w:tc>
        <w:tc>
          <w:tcPr>
            <w:tcW w:w="2340" w:type="dxa"/>
            <w:shd w:val="clear" w:color="auto" w:fill="auto"/>
            <w:vAlign w:val="center"/>
          </w:tcPr>
          <w:p>
            <w:pPr>
              <w:rPr>
                <w:rFonts w:hint="default" w:ascii="仿宋_GB2312" w:hAnsi="宋体" w:eastAsia="仿宋_GB2312" w:cs="宋体"/>
                <w:color w:val="000000"/>
                <w:kern w:val="2"/>
                <w:sz w:val="18"/>
                <w:szCs w:val="18"/>
                <w:lang w:val="en-US" w:eastAsia="zh-CN" w:bidi="ar-SA"/>
              </w:rPr>
            </w:pPr>
            <w:r>
              <w:rPr>
                <w:rFonts w:hint="default" w:ascii="仿宋_GB2312" w:hAnsi="宋体" w:eastAsia="仿宋_GB2312" w:cs="宋体"/>
                <w:color w:val="000000"/>
                <w:kern w:val="2"/>
                <w:sz w:val="18"/>
                <w:szCs w:val="18"/>
                <w:lang w:val="en-US" w:eastAsia="zh-CN" w:bidi="ar-SA"/>
              </w:rPr>
              <w:t>①</w:t>
            </w:r>
            <w:r>
              <w:rPr>
                <w:rFonts w:hint="eastAsia" w:ascii="仿宋_GB2312" w:hAnsi="宋体" w:eastAsia="仿宋_GB2312" w:cs="宋体"/>
                <w:color w:val="000000"/>
                <w:kern w:val="2"/>
                <w:sz w:val="18"/>
                <w:szCs w:val="18"/>
                <w:lang w:val="en-US" w:eastAsia="zh-CN" w:bidi="ar-SA"/>
              </w:rPr>
              <w:t>少数民</w:t>
            </w:r>
            <w:r>
              <w:rPr>
                <w:rFonts w:hint="default" w:ascii="仿宋_GB2312" w:hAnsi="宋体" w:eastAsia="仿宋_GB2312" w:cs="宋体"/>
                <w:color w:val="000000"/>
                <w:kern w:val="2"/>
                <w:sz w:val="18"/>
                <w:szCs w:val="18"/>
                <w:lang w:val="en-US" w:eastAsia="zh-CN" w:bidi="ar-SA"/>
              </w:rPr>
              <w:t>族大学生就学补助。</w:t>
            </w:r>
          </w:p>
        </w:tc>
        <w:tc>
          <w:tcPr>
            <w:tcW w:w="2520" w:type="dxa"/>
            <w:shd w:val="clear" w:color="auto" w:fill="auto"/>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s="Times New Roman"/>
                <w:color w:val="000000"/>
                <w:kern w:val="2"/>
                <w:sz w:val="18"/>
                <w:szCs w:val="18"/>
                <w:lang w:val="en-US" w:eastAsia="zh-CN" w:bidi="ar-SA"/>
              </w:rPr>
              <w:t>《预算法》、《政府信息公开条例》、《鄂尔多斯市少数民族贫困救助金暂行管理办法》、《鄂托克前旗少数民族贫困救助金暂行管理办法》、《内蒙古自治区蒙古语文工作条例》</w:t>
            </w:r>
          </w:p>
        </w:tc>
        <w:tc>
          <w:tcPr>
            <w:tcW w:w="1620" w:type="dxa"/>
            <w:shd w:val="clear" w:color="auto" w:fill="auto"/>
            <w:vAlign w:val="center"/>
          </w:tcPr>
          <w:p>
            <w:pPr>
              <w:ind w:firstLine="360" w:firstLineChars="200"/>
              <w:rPr>
                <w:rFonts w:hint="eastAsia" w:ascii="仿宋_GB2312" w:hAnsi="仿宋" w:eastAsia="仿宋_GB2312" w:cs="Times New Roman"/>
                <w:color w:val="000000"/>
                <w:kern w:val="2"/>
                <w:sz w:val="18"/>
                <w:szCs w:val="18"/>
                <w:lang w:val="en-US" w:eastAsia="zh-CN" w:bidi="ar-SA"/>
              </w:rPr>
            </w:pPr>
            <w:r>
              <w:rPr>
                <w:rFonts w:ascii="仿宋_GB2312" w:hAnsi="宋体" w:eastAsia="仿宋_GB2312" w:cs="仿宋_GB2312"/>
                <w:b w:val="0"/>
                <w:i w:val="0"/>
                <w:caps w:val="0"/>
                <w:color w:val="000000"/>
                <w:spacing w:val="0"/>
                <w:sz w:val="18"/>
                <w:szCs w:val="18"/>
                <w:shd w:val="clear" w:fill="FFFFFF"/>
              </w:rPr>
              <w:t>实时公开</w:t>
            </w:r>
          </w:p>
        </w:tc>
        <w:tc>
          <w:tcPr>
            <w:tcW w:w="1544" w:type="dxa"/>
            <w:shd w:val="clear" w:color="auto" w:fill="auto"/>
            <w:vAlign w:val="center"/>
          </w:tcPr>
          <w:p>
            <w:pPr>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olor w:val="000000"/>
                <w:sz w:val="18"/>
                <w:szCs w:val="18"/>
                <w:lang w:val="en-US" w:eastAsia="zh-CN"/>
              </w:rPr>
              <w:t>准格尔旗民族事务委员会</w:t>
            </w:r>
          </w:p>
        </w:tc>
        <w:tc>
          <w:tcPr>
            <w:tcW w:w="1516"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default" w:ascii="仿宋_GB2312" w:hAnsi="仿宋" w:eastAsia="仿宋_GB2312"/>
                <w:color w:val="000000"/>
                <w:sz w:val="18"/>
                <w:szCs w:val="18"/>
                <w:lang w:val="en-US"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val="en-US" w:eastAsia="zh-CN"/>
              </w:rPr>
              <w:t>公开查阅点</w:t>
            </w:r>
          </w:p>
          <w:p>
            <w:pPr>
              <w:jc w:val="left"/>
              <w:rPr>
                <w:rFonts w:hint="eastAsia" w:ascii="仿宋_GB2312" w:hAnsi="仿宋" w:eastAsia="仿宋_GB2312" w:cs="Times New Roman"/>
                <w:color w:val="000000"/>
                <w:kern w:val="2"/>
                <w:sz w:val="18"/>
                <w:szCs w:val="18"/>
                <w:lang w:val="en-US" w:eastAsia="zh-CN" w:bidi="ar-SA"/>
              </w:rPr>
            </w:pP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3" w:hRule="atLeast"/>
        </w:trPr>
        <w:tc>
          <w:tcPr>
            <w:tcW w:w="540" w:type="dxa"/>
            <w:vMerge w:val="continue"/>
            <w:vAlign w:val="center"/>
          </w:tcPr>
          <w:p>
            <w:pPr>
              <w:jc w:val="center"/>
            </w:pPr>
          </w:p>
        </w:tc>
        <w:tc>
          <w:tcPr>
            <w:tcW w:w="683" w:type="dxa"/>
            <w:vMerge w:val="continue"/>
            <w:vAlign w:val="center"/>
          </w:tcPr>
          <w:p>
            <w:pPr>
              <w:jc w:val="center"/>
            </w:pPr>
          </w:p>
        </w:tc>
        <w:tc>
          <w:tcPr>
            <w:tcW w:w="757" w:type="dxa"/>
            <w:shd w:val="clear" w:color="auto" w:fill="auto"/>
            <w:vAlign w:val="center"/>
          </w:tcPr>
          <w:p>
            <w:pPr>
              <w:jc w:val="center"/>
              <w:rPr>
                <w:rFonts w:hint="default" w:ascii="仿宋_GB2312" w:hAnsi="宋体" w:eastAsia="仿宋_GB2312" w:cs="宋体"/>
                <w:color w:val="000000"/>
                <w:sz w:val="18"/>
                <w:szCs w:val="18"/>
                <w:lang w:val="en-US" w:eastAsia="zh-CN"/>
              </w:rPr>
            </w:pPr>
            <w:r>
              <w:rPr>
                <w:rFonts w:hint="default" w:ascii="仿宋_GB2312" w:hAnsi="宋体" w:eastAsia="仿宋_GB2312" w:cs="宋体"/>
                <w:color w:val="000000"/>
                <w:sz w:val="18"/>
                <w:szCs w:val="18"/>
                <w:lang w:val="en-US" w:eastAsia="zh-CN"/>
              </w:rPr>
              <w:t>政务　　信息</w:t>
            </w:r>
          </w:p>
        </w:tc>
        <w:tc>
          <w:tcPr>
            <w:tcW w:w="2340" w:type="dxa"/>
            <w:shd w:val="clear" w:color="auto" w:fill="auto"/>
            <w:vAlign w:val="center"/>
          </w:tcPr>
          <w:p>
            <w:pPr>
              <w:jc w:val="center"/>
              <w:rPr>
                <w:rFonts w:hint="default" w:ascii="仿宋_GB2312" w:hAnsi="宋体" w:eastAsia="仿宋_GB2312" w:cs="宋体"/>
                <w:color w:val="000000"/>
                <w:sz w:val="18"/>
                <w:szCs w:val="18"/>
                <w:lang w:val="en-US" w:eastAsia="zh-CN"/>
              </w:rPr>
            </w:pPr>
            <w:r>
              <w:rPr>
                <w:rFonts w:ascii="仿宋_GB2312" w:hAnsi="宋体" w:eastAsia="仿宋_GB2312" w:cs="仿宋_GB2312"/>
                <w:b w:val="0"/>
                <w:i w:val="0"/>
                <w:caps w:val="0"/>
                <w:color w:val="000000"/>
                <w:spacing w:val="0"/>
                <w:sz w:val="18"/>
                <w:szCs w:val="18"/>
                <w:shd w:val="clear" w:fill="FFFFFF"/>
              </w:rPr>
              <w:t>①审核、监督检查工作。②少数民族古籍相关工作。③民族语言文字法律法规信息。</w:t>
            </w:r>
          </w:p>
        </w:tc>
        <w:tc>
          <w:tcPr>
            <w:tcW w:w="2520" w:type="dxa"/>
            <w:shd w:val="clear" w:color="auto" w:fill="auto"/>
            <w:vAlign w:val="center"/>
          </w:tcPr>
          <w:p>
            <w:pPr>
              <w:jc w:val="center"/>
              <w:rPr>
                <w:rFonts w:hint="default" w:ascii="仿宋_GB2312" w:hAnsi="宋体" w:eastAsia="仿宋_GB2312" w:cs="宋体"/>
                <w:color w:val="000000"/>
                <w:sz w:val="18"/>
                <w:szCs w:val="18"/>
                <w:lang w:val="en-US" w:eastAsia="zh-CN"/>
              </w:rPr>
            </w:pPr>
            <w:r>
              <w:rPr>
                <w:rFonts w:hint="default" w:ascii="仿宋_GB2312" w:hAnsi="宋体" w:eastAsia="仿宋_GB2312" w:cs="宋体"/>
                <w:color w:val="000000"/>
                <w:sz w:val="18"/>
                <w:szCs w:val="18"/>
                <w:lang w:val="en-US" w:eastAsia="zh-CN"/>
              </w:rPr>
              <w:t>《政府信息公开条例》</w:t>
            </w:r>
          </w:p>
        </w:tc>
        <w:tc>
          <w:tcPr>
            <w:tcW w:w="1620" w:type="dxa"/>
            <w:shd w:val="clear" w:color="auto" w:fill="auto"/>
            <w:vAlign w:val="center"/>
          </w:tcPr>
          <w:p>
            <w:pPr>
              <w:jc w:val="center"/>
              <w:rPr>
                <w:rFonts w:hint="default" w:ascii="仿宋_GB2312" w:hAnsi="宋体" w:eastAsia="仿宋_GB2312" w:cs="宋体"/>
                <w:color w:val="000000"/>
                <w:sz w:val="18"/>
                <w:szCs w:val="18"/>
                <w:lang w:val="en-US" w:eastAsia="zh-CN"/>
              </w:rPr>
            </w:pPr>
            <w:r>
              <w:rPr>
                <w:rFonts w:hint="default" w:ascii="仿宋_GB2312" w:hAnsi="宋体" w:eastAsia="仿宋_GB2312" w:cs="宋体"/>
                <w:color w:val="000000"/>
                <w:sz w:val="18"/>
                <w:szCs w:val="18"/>
                <w:lang w:val="en-US" w:eastAsia="zh-CN"/>
              </w:rPr>
              <w:t>实时公开</w:t>
            </w:r>
          </w:p>
        </w:tc>
        <w:tc>
          <w:tcPr>
            <w:tcW w:w="1544" w:type="dxa"/>
            <w:shd w:val="clear" w:color="auto" w:fill="auto"/>
            <w:vAlign w:val="center"/>
          </w:tcPr>
          <w:p>
            <w:pPr>
              <w:jc w:val="center"/>
              <w:rPr>
                <w:rFonts w:hint="default" w:ascii="仿宋_GB2312" w:hAnsi="宋体" w:eastAsia="仿宋_GB2312" w:cs="宋体"/>
                <w:color w:val="000000"/>
                <w:sz w:val="18"/>
                <w:szCs w:val="18"/>
                <w:lang w:val="en-US" w:eastAsia="zh-CN"/>
              </w:rPr>
            </w:pPr>
            <w:r>
              <w:rPr>
                <w:rFonts w:hint="default" w:ascii="仿宋_GB2312" w:hAnsi="宋体" w:eastAsia="仿宋_GB2312" w:cs="宋体"/>
                <w:color w:val="000000"/>
                <w:sz w:val="18"/>
                <w:szCs w:val="18"/>
                <w:lang w:val="en-US" w:eastAsia="zh-CN"/>
              </w:rPr>
              <w:t>准格尔旗民族事务委员会</w:t>
            </w:r>
          </w:p>
        </w:tc>
        <w:tc>
          <w:tcPr>
            <w:tcW w:w="1516" w:type="dxa"/>
            <w:shd w:val="clear" w:color="auto" w:fill="auto"/>
            <w:vAlign w:val="center"/>
          </w:tcPr>
          <w:p>
            <w:pPr>
              <w:jc w:val="center"/>
              <w:rPr>
                <w:rFonts w:hint="default" w:ascii="仿宋_GB2312" w:hAnsi="宋体" w:eastAsia="仿宋_GB2312" w:cs="宋体"/>
                <w:color w:val="000000"/>
                <w:sz w:val="18"/>
                <w:szCs w:val="18"/>
                <w:lang w:val="en-US" w:eastAsia="zh-CN"/>
              </w:rPr>
            </w:pPr>
            <w:r>
              <w:rPr>
                <w:rFonts w:hint="default" w:ascii="仿宋_GB2312" w:hAnsi="宋体" w:eastAsia="仿宋_GB2312" w:cs="宋体"/>
                <w:color w:val="000000"/>
                <w:sz w:val="18"/>
                <w:szCs w:val="18"/>
                <w:lang w:val="en-US" w:eastAsia="zh-CN"/>
              </w:rPr>
              <w:t>■政府网站</w:t>
            </w:r>
          </w:p>
          <w:p>
            <w:pPr>
              <w:jc w:val="center"/>
              <w:rPr>
                <w:rFonts w:hint="default" w:ascii="仿宋_GB2312" w:hAnsi="宋体" w:eastAsia="仿宋_GB2312" w:cs="宋体"/>
                <w:color w:val="000000"/>
                <w:sz w:val="18"/>
                <w:szCs w:val="18"/>
                <w:lang w:val="en-US" w:eastAsia="zh-CN"/>
              </w:rPr>
            </w:pPr>
            <w:r>
              <w:rPr>
                <w:rFonts w:hint="default" w:ascii="仿宋_GB2312" w:hAnsi="宋体" w:eastAsia="仿宋_GB2312" w:cs="宋体"/>
                <w:color w:val="000000"/>
                <w:sz w:val="18"/>
                <w:szCs w:val="18"/>
                <w:lang w:val="en-US" w:eastAsia="zh-CN"/>
              </w:rPr>
              <w:t>■公开查阅点</w:t>
            </w:r>
          </w:p>
        </w:tc>
        <w:tc>
          <w:tcPr>
            <w:tcW w:w="540" w:type="dxa"/>
            <w:shd w:val="clear" w:color="auto" w:fill="auto"/>
            <w:vAlign w:val="center"/>
          </w:tcPr>
          <w:p>
            <w:pPr>
              <w:jc w:val="center"/>
              <w:rPr>
                <w:rFonts w:hint="default" w:ascii="仿宋_GB2312" w:hAnsi="宋体" w:eastAsia="仿宋_GB2312" w:cs="宋体"/>
                <w:color w:val="000000"/>
                <w:sz w:val="18"/>
                <w:szCs w:val="18"/>
                <w:lang w:val="en-US" w:eastAsia="zh-CN"/>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default" w:ascii="仿宋_GB2312" w:hAnsi="宋体" w:eastAsia="仿宋_GB2312" w:cs="宋体"/>
                <w:color w:val="000000"/>
                <w:sz w:val="18"/>
                <w:szCs w:val="18"/>
                <w:lang w:val="en-US" w:eastAsia="zh-CN"/>
              </w:rPr>
            </w:pPr>
          </w:p>
        </w:tc>
        <w:tc>
          <w:tcPr>
            <w:tcW w:w="551" w:type="dxa"/>
            <w:shd w:val="clear" w:color="auto" w:fill="auto"/>
            <w:vAlign w:val="center"/>
          </w:tcPr>
          <w:p>
            <w:pPr>
              <w:jc w:val="center"/>
              <w:rPr>
                <w:rFonts w:hint="default" w:ascii="仿宋_GB2312" w:hAnsi="宋体" w:eastAsia="仿宋_GB2312" w:cs="宋体"/>
                <w:color w:val="000000"/>
                <w:sz w:val="18"/>
                <w:szCs w:val="18"/>
                <w:lang w:val="en-US" w:eastAsia="zh-CN"/>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default" w:ascii="仿宋_GB2312" w:hAnsi="宋体" w:eastAsia="仿宋_GB2312" w:cs="宋体"/>
                <w:color w:val="000000"/>
                <w:sz w:val="18"/>
                <w:szCs w:val="18"/>
                <w:lang w:val="en-US" w:eastAsia="zh-CN"/>
              </w:rPr>
            </w:pPr>
          </w:p>
        </w:tc>
      </w:tr>
    </w:tbl>
    <w:tbl>
      <w:tblPr>
        <w:tblStyle w:val="5"/>
        <w:tblpPr w:leftFromText="180" w:rightFromText="180" w:vertAnchor="text" w:tblpX="15812" w:tblpY="-12887"/>
        <w:tblOverlap w:val="never"/>
        <w:tblW w:w="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76" w:type="dxa"/>
          </w:tcPr>
          <w:p>
            <w:pPr>
              <w:rPr>
                <w:vertAlign w:val="baseline"/>
              </w:rPr>
            </w:pPr>
          </w:p>
        </w:tc>
      </w:tr>
    </w:tbl>
    <w:p/>
    <w:p>
      <w:pPr>
        <w:rPr>
          <w:rFonts w:hint="eastAsia" w:ascii="宋体" w:hAnsi="宋体" w:eastAsia="宋体" w:cs="宋体"/>
        </w:rPr>
      </w:pPr>
      <w:r>
        <w:rPr>
          <w:rFonts w:hint="eastAsia"/>
        </w:rPr>
        <w:t xml:space="preserve"> </w:t>
      </w:r>
      <w:r>
        <w:rPr>
          <w:rFonts w:hint="eastAsia"/>
          <w:b/>
          <w:bCs/>
        </w:rPr>
        <w:t>【填表说明】</w:t>
      </w:r>
      <w:r>
        <w:rPr>
          <w:rFonts w:hint="eastAsia" w:ascii="宋体" w:hAnsi="宋体" w:eastAsia="宋体" w:cs="宋体"/>
        </w:rPr>
        <w:t>1.</w:t>
      </w:r>
      <w:r>
        <w:rPr>
          <w:rFonts w:hint="eastAsia" w:ascii="宋体" w:hAnsi="宋体" w:eastAsia="宋体" w:cs="宋体"/>
          <w:lang w:val="en-US" w:eastAsia="zh-CN"/>
        </w:rPr>
        <w:t>一级事项，是指</w:t>
      </w:r>
      <w:r>
        <w:rPr>
          <w:rFonts w:hint="eastAsia" w:ascii="宋体" w:hAnsi="宋体" w:eastAsia="宋体" w:cs="宋体"/>
        </w:rPr>
        <w:t>具体职责</w:t>
      </w:r>
      <w:r>
        <w:rPr>
          <w:rFonts w:hint="eastAsia" w:ascii="宋体" w:hAnsi="宋体" w:eastAsia="宋体" w:cs="宋体"/>
          <w:lang w:val="en-US" w:eastAsia="zh-CN"/>
        </w:rPr>
        <w:t>或行业领域等；2.二级事项，是指一级事项的细化事项，更具体的事项；3.公开内容，</w:t>
      </w:r>
      <w:r>
        <w:rPr>
          <w:rFonts w:hint="eastAsia" w:ascii="宋体" w:hAnsi="宋体" w:eastAsia="宋体" w:cs="宋体"/>
        </w:rPr>
        <w:t>是指</w:t>
      </w:r>
      <w:r>
        <w:rPr>
          <w:rFonts w:hint="eastAsia" w:ascii="宋体" w:hAnsi="宋体" w:eastAsia="宋体" w:cs="宋体"/>
          <w:lang w:val="en-US" w:eastAsia="zh-CN"/>
        </w:rPr>
        <w:t>二级</w:t>
      </w:r>
      <w:r>
        <w:rPr>
          <w:rFonts w:hint="eastAsia" w:ascii="宋体" w:hAnsi="宋体" w:eastAsia="宋体" w:cs="宋体"/>
        </w:rPr>
        <w:t>事项</w:t>
      </w:r>
      <w:r>
        <w:rPr>
          <w:rFonts w:hint="eastAsia" w:ascii="宋体" w:hAnsi="宋体" w:eastAsia="宋体" w:cs="宋体"/>
          <w:lang w:val="en-US" w:eastAsia="zh-CN"/>
        </w:rPr>
        <w:t>中</w:t>
      </w:r>
      <w:r>
        <w:rPr>
          <w:rFonts w:hint="eastAsia" w:ascii="宋体" w:hAnsi="宋体" w:eastAsia="宋体" w:cs="宋体"/>
        </w:rPr>
        <w:t>应包括的具体要素</w:t>
      </w:r>
      <w:r>
        <w:rPr>
          <w:rFonts w:hint="eastAsia" w:ascii="宋体" w:hAnsi="宋体" w:eastAsia="宋体" w:cs="宋体"/>
          <w:lang w:val="en-US" w:eastAsia="zh-CN"/>
        </w:rPr>
        <w:t>或法律法规和政策等中应包括的具体内容</w:t>
      </w:r>
      <w:r>
        <w:rPr>
          <w:rFonts w:hint="eastAsia" w:ascii="宋体" w:hAnsi="宋体" w:eastAsia="宋体" w:cs="宋体"/>
        </w:rPr>
        <w:t>；</w:t>
      </w:r>
      <w:r>
        <w:rPr>
          <w:rFonts w:hint="eastAsia" w:ascii="宋体" w:hAnsi="宋体" w:eastAsia="宋体" w:cs="宋体"/>
          <w:lang w:val="en-US" w:eastAsia="zh-CN"/>
        </w:rPr>
        <w:t>4.公开依据，是指公开事项的具体依据的法律法规、政策等文件；5.公开时限，是指根法律法规、政策文件的公开时限，可以根据工作实际将公开时限压合情合理范围内；6.公开主体，是指行政机关（或从事政府具体工作企事业单位）或授权的机构；6.公开渠道和载体，是</w:t>
      </w:r>
      <w:r>
        <w:rPr>
          <w:rFonts w:hint="eastAsia" w:ascii="宋体" w:hAnsi="宋体" w:eastAsia="宋体" w:cs="宋体"/>
        </w:rPr>
        <w:t>指拟公开事项选择</w:t>
      </w:r>
      <w:r>
        <w:rPr>
          <w:rFonts w:hint="eastAsia" w:ascii="宋体" w:hAnsi="宋体" w:eastAsia="宋体" w:cs="宋体"/>
          <w:lang w:val="en-US" w:eastAsia="zh-CN"/>
        </w:rPr>
        <w:t>的</w:t>
      </w:r>
      <w:r>
        <w:rPr>
          <w:rFonts w:hint="eastAsia" w:ascii="宋体" w:hAnsi="宋体" w:eastAsia="宋体" w:cs="宋体"/>
        </w:rPr>
        <w:t>政府网站、微博、微信、电视、报纸、公示公告栏</w:t>
      </w:r>
      <w:r>
        <w:rPr>
          <w:rFonts w:hint="eastAsia" w:ascii="宋体" w:hAnsi="宋体" w:eastAsia="宋体" w:cs="宋体"/>
          <w:lang w:eastAsia="zh-CN"/>
        </w:rPr>
        <w:t>、</w:t>
      </w:r>
      <w:r>
        <w:rPr>
          <w:rFonts w:hint="eastAsia" w:ascii="宋体" w:hAnsi="宋体" w:eastAsia="宋体" w:cs="宋体"/>
          <w:lang w:val="en-US" w:eastAsia="zh-CN"/>
        </w:rPr>
        <w:t>公开查阅点</w:t>
      </w:r>
      <w:r>
        <w:rPr>
          <w:rFonts w:hint="eastAsia" w:ascii="宋体" w:hAnsi="宋体" w:eastAsia="宋体" w:cs="宋体"/>
        </w:rPr>
        <w:t>等媒介</w:t>
      </w:r>
      <w:r>
        <w:rPr>
          <w:rFonts w:hint="eastAsia" w:ascii="宋体" w:hAnsi="宋体" w:eastAsia="宋体" w:cs="宋体"/>
          <w:lang w:eastAsia="zh-CN"/>
        </w:rPr>
        <w:t>，</w:t>
      </w:r>
      <w:r>
        <w:rPr>
          <w:rFonts w:hint="eastAsia" w:ascii="宋体" w:hAnsi="宋体" w:eastAsia="宋体" w:cs="宋体"/>
          <w:lang w:val="en-US" w:eastAsia="zh-CN"/>
        </w:rPr>
        <w:t>可以多种渠道；7.公开对象，是指</w:t>
      </w:r>
      <w:r>
        <w:rPr>
          <w:rFonts w:hint="eastAsia" w:ascii="宋体" w:hAnsi="宋体" w:eastAsia="宋体" w:cs="宋体"/>
        </w:rPr>
        <w:t>拟公开事项</w:t>
      </w:r>
      <w:r>
        <w:rPr>
          <w:rFonts w:hint="eastAsia" w:ascii="宋体" w:hAnsi="宋体" w:eastAsia="宋体" w:cs="宋体"/>
          <w:lang w:val="en-US" w:eastAsia="zh-CN"/>
        </w:rPr>
        <w:t>公开群体，如全社会、特殊群众；8.公开方式，是指</w:t>
      </w:r>
      <w:r>
        <w:rPr>
          <w:rFonts w:hint="eastAsia" w:ascii="宋体" w:hAnsi="宋体" w:eastAsia="宋体" w:cs="宋体"/>
        </w:rPr>
        <w:t>拟公开事项</w:t>
      </w:r>
      <w:r>
        <w:rPr>
          <w:rFonts w:hint="eastAsia" w:ascii="宋体" w:hAnsi="宋体" w:eastAsia="宋体" w:cs="宋体"/>
          <w:lang w:val="en-US" w:eastAsia="zh-CN"/>
        </w:rPr>
        <w:t>是属于主动公开，还是依申请公开</w:t>
      </w:r>
      <w:r>
        <w:rPr>
          <w:rFonts w:hint="eastAsia" w:ascii="宋体" w:hAnsi="宋体" w:eastAsia="宋体" w:cs="宋体"/>
        </w:rPr>
        <w:t>。</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p>
    <w:p>
      <w:pPr>
        <w:rPr>
          <w:rFonts w:hint="eastAsia" w:ascii="宋体" w:hAnsi="宋体" w:eastAsia="宋体" w:cs="宋体"/>
        </w:rPr>
      </w:pPr>
    </w:p>
    <w:p/>
    <w:sectPr>
      <w:pgSz w:w="16838" w:h="11906" w:orient="landscape"/>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426063"/>
    <w:rsid w:val="3D0D73B9"/>
    <w:rsid w:val="3D536734"/>
    <w:rsid w:val="48C14117"/>
    <w:rsid w:val="4C426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rPr>
      <w:sz w:val="24"/>
    </w:rPr>
  </w:style>
  <w:style w:type="table" w:styleId="5">
    <w:name w:val="Table Grid"/>
    <w:basedOn w:val="4"/>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2020-09-17T07:17:00Z</dcterms:created>
  <dc:creator>我</dc:creator>
  <cp:lastModifiedBy>Administrator</cp:lastModifiedBy>
  <dcterms:modified xsi:type="dcterms:W3CDTF">2020-09-18T01:29:46Z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