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准格尔旗医疗保障局关于应发2024年”双随机、一公开“抽查工作计划的通知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各股室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二级单位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  <w:bookmarkStart w:id="0" w:name="_GoBack"/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现将《准格尔旗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年“双随机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一公开”抽查工作计划》印发给你们，请认真遵照执行。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准格尔旗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医疗保障局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55A"/>
          <w:spacing w:val="0"/>
          <w:sz w:val="32"/>
          <w:szCs w:val="32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年度“双随机、一公开”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抽查工作计划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为了持续优化营商环境，提升监管效能，根据上级业务部门部署，开展“双随机、一公开”抽查工作，现制定本工作计划，为了规范市场秩序和执法行为，提高监管效能，优化营商环境，将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对签订服务协议的医疗机构、零售药店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作为抽查对象。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一、基本情况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全面推行“双随机、一公开”监管，提升了事中事后监管效能，建立健全了全旗检查对象名录库和执法人员名录库，全面落实了“双随机、一公开”监管机制。抽查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签订服务协议的医疗机构、零售药店3.5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内部抽查抽取单位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二、工作步骤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（一）随机抽查阶段。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通过“内蒙古自治区部门协同监管平台”发起抽查计划任务。采取随机抽取的方式，从抽查对象名录库中确定被检查对象。从执法人员名录库中随机抽取执法检查人员。被检查对象和检查人员确定后，由“内蒙古自治区部门协同监管平台”随机匹配，生成一户企业一份随机抽查联合检查记录表（简称“一企一表”），并派发到执法检查人员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（二）抽查实施阶段。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对企业实施实地核查时，每组检查人员不得少于两人，并出示执法证件。检查人员要如实记录检查情况、填写实地检查表并要求企业法定代表人（负责人）签字或者企业盖章，无法取得签字或者盖章的，检查人员应当注明原因，必要时可邀请有关人员作为见证人。发现涉嫌违法违规行为的，应当按照相关程序依法处理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（三）结果公示阶段。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现场抽查检查结束后，按照“谁检查、谁录入、谁公开”的原则，执法检查人员在20个工作日内将抽查结果录入“内蒙古自治区部门协同监管平台”系统，抽查结果由系统完成数据交换自动归集到市场主体名下，通过“国家企业信用信息公示系统（内蒙古）”向社会公示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三、工作要求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（一）提高认识，加强组织领导。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全面推行“双随机、一公开”监管，是贯彻落实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中央、国务院“放管服”改革决策部署的内在要求，是优化营商环境的有力举措，是加快信用体系建设、创新事中事后监管的重要内容。要充分认识全面推行“双随机、一公开”监管工作的重要性、紧迫性，加强组织领导，强化业务培训，为全面实施“双随机、一公开”监管奠定坚实的基础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（二）强化信用风险分类监管与双随机抽查工作相结合。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在“双随机、一公开”抽查事中事后监管工作中，针对不同信用类别企业采取差异化监管措施。在双随机抽查中对警示、失信类企业递加比例进行抽取，确保信用风险分类差异化抽查措施应用。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（三）加强抽查结果分析评估。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强化对年度抽查工作计划实施情况的跟踪问效，坚持问题导向，将双随机抽查作为发现问题线索的重要手段，认真开展分析评估，及时掌握监管中的风险领域和薄弱环节，采取进一步监管措施。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0ZjI1ZGE1NTJiMmIxNzQ2NGQzNmVjZmFiNDZlN2MifQ=="/>
  </w:docVars>
  <w:rsids>
    <w:rsidRoot w:val="00000000"/>
    <w:rsid w:val="33B14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2023-04-27T07:53:00Z</dcterms:created>
  <dc:creator>水圈子</dc:creator>
  <cp:lastModifiedBy>WPS_1535080285</cp:lastModifiedBy>
  <cp:lastPrinted>2024-03-01T10:26:00Z</cp:lastPrinted>
  <dcterms:modified xsi:type="dcterms:W3CDTF">2024-04-03T02:24:43Z</dcterms:modified>
  <dc:title>栀栀是锦鲤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8962CEAD3AD846A29C1ACE1F5C05C11F_13</vt:lpwstr>
  </property>
</Properties>
</file>