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2023年度准格尔旗退役军人事务局普法责任清单</w:t>
      </w:r>
    </w:p>
    <w:tbl>
      <w:tblPr>
        <w:tblStyle w:val="4"/>
        <w:tblW w:w="94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400"/>
        <w:gridCol w:w="6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sz w:val="21"/>
                <w:szCs w:val="21"/>
              </w:rPr>
              <w:t>责任单位名称</w:t>
            </w:r>
          </w:p>
        </w:tc>
        <w:tc>
          <w:tcPr>
            <w:tcW w:w="68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准格尔旗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重点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普法内容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共性内容</w:t>
            </w:r>
          </w:p>
        </w:tc>
        <w:tc>
          <w:tcPr>
            <w:tcW w:w="68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textAlignment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党的二十</w:t>
            </w: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大精神、习近平法治思想、宪法、民法典、刑法、国家安全法</w:t>
            </w:r>
            <w:r>
              <w:t>、</w:t>
            </w: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民族团结进步模范区创建条例等基本法律；党章和党内法规等。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个性内容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（根据本单位职能及“八五”普法重点任务列举）</w:t>
            </w:r>
          </w:p>
        </w:tc>
        <w:tc>
          <w:tcPr>
            <w:tcW w:w="68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1.中华人民共和国退役军人保障法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2.中华人民共和国兵役法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3.中华人民共和国英雄烈士保护法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4.烈士褒扬条例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5.退役士兵安置条例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6.军人抚恤优待条例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7.退役军人逐月领取退役金安置办法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8.烈士纪念设施保护管理办法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9.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内蒙古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自治区烈士亲属异地祭扫组织服务工作实施办法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10.军队离退休干部服务管理办法等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本单位2023年重要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普法时间节点</w:t>
            </w:r>
          </w:p>
        </w:tc>
        <w:tc>
          <w:tcPr>
            <w:tcW w:w="68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八一建军节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三大节日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本单位计划组织开展的重点普法项目和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主题活动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（结合本单位实际列举）</w:t>
            </w:r>
          </w:p>
        </w:tc>
        <w:tc>
          <w:tcPr>
            <w:tcW w:w="68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1.2023年组织开展“退役军人大走访”活动，宣传政策。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2.八一建军节及三大节日期间，各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苏木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乡镇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街道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组织本区域内退役军人及军属，通过开展座谈会、文体活动、表彰、慰问等丰富多彩的活动，进一步宣传党的政策法规。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3.八一建军节及三大节日期间组织老兵宣讲团深入各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苏木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乡镇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街道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宣讲党的相关政策，引导广大群众心向党、感党恩、听党话、跟党走。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4.结合各单位开展的如综治宣传月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全国土地日宣传活动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档案宣传日、环境宣传日、中国旅游日、民法典宣传等，积极宣传退役军人相关政策法规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本单位普法平台</w:t>
            </w:r>
          </w:p>
        </w:tc>
        <w:tc>
          <w:tcPr>
            <w:tcW w:w="68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both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both"/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1"/>
                <w:szCs w:val="21"/>
              </w:rPr>
              <w:t>微信公众号：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准格尔旗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本单位责任清单公示平台</w:t>
            </w: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微信公众号：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准格尔旗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55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责任领导、部门及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普法联络员</w:t>
            </w: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textAlignment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分管领导（姓名、职务）：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李帅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textAlignment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责任部门：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准格尔旗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退役军人事务局办公室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textAlignment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0477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-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3972028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（兼传真）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55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/>
              <w:ind w:left="0" w:right="0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普法联络员：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王茹 17704852230</w:t>
            </w:r>
          </w:p>
        </w:tc>
      </w:tr>
    </w:tbl>
    <w:p/>
    <w:sectPr>
      <w:pgSz w:w="11906" w:h="16838"/>
      <w:pgMar w:top="1440" w:right="26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BFFD8F-8422-4BDA-B09E-49C334FFF9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6975F9-2CE6-4D76-BB61-6BD783EBF9C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21F3A0E-3590-4EA7-8095-57E35523C0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NTBmOGU1MmYzMWU0Yjk1MWE5Yjg3MWY5YjVhZGYifQ=="/>
  </w:docVars>
  <w:rsids>
    <w:rsidRoot w:val="00000000"/>
    <w:rsid w:val="18C14B2B"/>
    <w:rsid w:val="1DE7380E"/>
    <w:rsid w:val="249E7DD7"/>
    <w:rsid w:val="2E027AB2"/>
    <w:rsid w:val="44E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2024-01-15T07:49:00Z</dcterms:created>
  <dc:creator>user</dc:creator>
  <cp:lastModifiedBy>王茹</cp:lastModifiedBy>
  <cp:lastPrinted>2024-01-15T07:56:00Z</cp:lastPrinted>
  <dcterms:modified xsi:type="dcterms:W3CDTF">2024-01-17T07:28:03Z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AEF0D694BE7A47AE83E4AFBCBDDC9E07_12</vt:lpwstr>
  </property>
</Properties>
</file>