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wordWrap w:val="0"/>
        <w:autoSpaceDE w:val="0"/>
        <w:autoSpaceDN w:val="0"/>
        <w:adjustRightInd w:val="0"/>
        <w:ind w:left="352" w:right="18" w:hanging="180"/>
        <w:jc w:val="right"/>
        <w:rPr>
          <w:rFonts w:ascii="宋体" w:hAnsi="宋体"/>
          <w:color w:val="000000"/>
          <w:sz w:val="28"/>
          <w:szCs w:val="28"/>
        </w:rPr>
      </w:pPr>
      <w:bookmarkStart w:id="23" w:name="_GoBack"/>
      <w:r>
        <w:rPr>
          <w:rFonts w:hint="eastAsia" w:ascii="宋体" w:hAnsi="宋体"/>
          <w:color w:val="000000"/>
          <w:sz w:val="28"/>
          <w:szCs w:val="28"/>
        </w:rPr>
        <w:t>编号：XK17-004</w:t>
      </w:r>
    </w:p>
    <w:p>
      <w:pPr>
        <w:spacing w:line="360" w:lineRule="auto"/>
        <w:jc w:val="right"/>
        <w:rPr>
          <w:rFonts w:ascii="仿宋_GB2312" w:eastAsia="仿宋_GB2312"/>
          <w:b/>
          <w:color w:val="000000"/>
          <w:sz w:val="52"/>
        </w:rPr>
      </w:pPr>
    </w:p>
    <w:p>
      <w:pPr>
        <w:spacing w:line="360" w:lineRule="auto"/>
        <w:jc w:val="right"/>
        <w:rPr>
          <w:rFonts w:ascii="仿宋_GB2312" w:eastAsia="仿宋_GB2312"/>
          <w:b/>
          <w:color w:val="000000"/>
          <w:sz w:val="52"/>
        </w:rPr>
      </w:pPr>
    </w:p>
    <w:p>
      <w:pPr>
        <w:tabs>
          <w:tab w:val="left" w:pos="720"/>
        </w:tabs>
        <w:autoSpaceDE w:val="0"/>
        <w:autoSpaceDN w:val="0"/>
        <w:adjustRightInd w:val="0"/>
        <w:ind w:left="352" w:right="18" w:hanging="180"/>
        <w:jc w:val="center"/>
        <w:rPr>
          <w:rFonts w:ascii="宋体" w:hAnsi="宋体"/>
          <w:b/>
          <w:color w:val="000000"/>
          <w:kern w:val="0"/>
          <w:sz w:val="52"/>
          <w:szCs w:val="52"/>
        </w:rPr>
      </w:pPr>
      <w:r>
        <w:rPr>
          <w:rFonts w:hint="eastAsia" w:ascii="宋体" w:hAnsi="宋体"/>
          <w:b/>
          <w:color w:val="000000"/>
          <w:kern w:val="0"/>
          <w:sz w:val="52"/>
          <w:szCs w:val="52"/>
        </w:rPr>
        <w:t>预应力混凝土铁路桥简支梁产品</w:t>
      </w:r>
    </w:p>
    <w:p>
      <w:pPr>
        <w:tabs>
          <w:tab w:val="left" w:pos="720"/>
        </w:tabs>
        <w:autoSpaceDE w:val="0"/>
        <w:autoSpaceDN w:val="0"/>
        <w:adjustRightInd w:val="0"/>
        <w:ind w:left="352" w:right="18" w:hanging="180"/>
        <w:jc w:val="center"/>
        <w:rPr>
          <w:rFonts w:ascii="MS+Sans+Serif" w:eastAsia="MS+Sans+Serif"/>
          <w:color w:val="FF0000"/>
          <w:kern w:val="0"/>
          <w:sz w:val="32"/>
          <w:szCs w:val="32"/>
        </w:rPr>
      </w:pPr>
      <w:r>
        <w:rPr>
          <w:rFonts w:hint="eastAsia" w:ascii="宋体" w:hAnsi="宋体"/>
          <w:b/>
          <w:color w:val="000000"/>
          <w:kern w:val="0"/>
          <w:sz w:val="52"/>
          <w:szCs w:val="52"/>
        </w:rPr>
        <w:t>生产许可证实施细则</w:t>
      </w:r>
    </w:p>
    <w:p>
      <w:pPr>
        <w:tabs>
          <w:tab w:val="left" w:pos="720"/>
        </w:tabs>
        <w:autoSpaceDE w:val="0"/>
        <w:autoSpaceDN w:val="0"/>
        <w:adjustRightInd w:val="0"/>
        <w:ind w:left="352" w:right="18" w:hanging="180"/>
        <w:jc w:val="center"/>
        <w:rPr>
          <w:rFonts w:asciiTheme="minorEastAsia" w:hAnsiTheme="minorEastAsia" w:eastAsiaTheme="minorEastAsia"/>
          <w:b/>
          <w:color w:val="000000"/>
          <w:kern w:val="0"/>
          <w:sz w:val="32"/>
          <w:szCs w:val="32"/>
        </w:rPr>
      </w:pPr>
    </w:p>
    <w:p>
      <w:pPr>
        <w:tabs>
          <w:tab w:val="left" w:pos="720"/>
        </w:tabs>
        <w:autoSpaceDE w:val="0"/>
        <w:autoSpaceDN w:val="0"/>
        <w:adjustRightInd w:val="0"/>
        <w:ind w:left="352" w:right="18" w:hanging="180"/>
        <w:jc w:val="left"/>
        <w:rPr>
          <w:rFonts w:ascii="方正仿宋简体" w:eastAsia="方正仿宋简体"/>
          <w:b/>
          <w:color w:val="000000"/>
          <w:kern w:val="0"/>
          <w:sz w:val="28"/>
          <w:szCs w:val="28"/>
        </w:rPr>
      </w:pPr>
    </w:p>
    <w:p>
      <w:pPr>
        <w:tabs>
          <w:tab w:val="left" w:pos="720"/>
        </w:tabs>
        <w:autoSpaceDE w:val="0"/>
        <w:autoSpaceDN w:val="0"/>
        <w:adjustRightInd w:val="0"/>
        <w:ind w:right="18"/>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left="352" w:right="18" w:hanging="180"/>
        <w:jc w:val="left"/>
        <w:rPr>
          <w:rFonts w:ascii="方正仿宋简体" w:eastAsia="方正仿宋简体"/>
          <w:color w:val="000000"/>
          <w:kern w:val="0"/>
          <w:sz w:val="28"/>
          <w:szCs w:val="28"/>
        </w:rPr>
      </w:pPr>
    </w:p>
    <w:p>
      <w:pPr>
        <w:tabs>
          <w:tab w:val="left" w:pos="720"/>
        </w:tabs>
        <w:autoSpaceDE w:val="0"/>
        <w:autoSpaceDN w:val="0"/>
        <w:adjustRightInd w:val="0"/>
        <w:ind w:right="18"/>
        <w:jc w:val="center"/>
        <w:rPr>
          <w:rFonts w:asciiTheme="minorEastAsia" w:hAnsiTheme="minorEastAsia" w:eastAsiaTheme="minorEastAsia"/>
          <w:b/>
          <w:color w:val="000000"/>
          <w:kern w:val="0"/>
          <w:sz w:val="28"/>
          <w:szCs w:val="28"/>
        </w:rPr>
      </w:pPr>
      <w:r>
        <w:rPr>
          <w:rFonts w:hint="eastAsia" w:asciiTheme="minorEastAsia" w:hAnsiTheme="minorEastAsia" w:eastAsiaTheme="minorEastAsia"/>
          <w:b/>
          <w:bCs/>
          <w:color w:val="000000"/>
          <w:kern w:val="0"/>
          <w:sz w:val="28"/>
          <w:szCs w:val="28"/>
        </w:rPr>
        <w:t xml:space="preserve">2018-××-××公布 </w:t>
      </w:r>
      <w:r>
        <w:rPr>
          <w:rFonts w:hint="eastAsia" w:asciiTheme="minorEastAsia" w:hAnsiTheme="minorEastAsia" w:eastAsiaTheme="minorEastAsia"/>
          <w:b/>
          <w:color w:val="000000"/>
          <w:kern w:val="0"/>
          <w:sz w:val="28"/>
          <w:szCs w:val="28"/>
        </w:rPr>
        <w:t xml:space="preserve">                       </w:t>
      </w:r>
      <w:r>
        <w:rPr>
          <w:rFonts w:hint="eastAsia" w:asciiTheme="minorEastAsia" w:hAnsiTheme="minorEastAsia" w:eastAsiaTheme="minorEastAsia"/>
          <w:b/>
          <w:bCs/>
          <w:color w:val="000000"/>
          <w:kern w:val="0"/>
          <w:sz w:val="28"/>
          <w:szCs w:val="28"/>
        </w:rPr>
        <w:t>2018-××-××实施</w:t>
      </w:r>
    </w:p>
    <w:p>
      <w:pPr>
        <w:tabs>
          <w:tab w:val="left" w:pos="720"/>
        </w:tabs>
        <w:autoSpaceDE w:val="0"/>
        <w:autoSpaceDN w:val="0"/>
        <w:adjustRightInd w:val="0"/>
        <w:ind w:left="352" w:right="18" w:hanging="180"/>
        <w:jc w:val="center"/>
        <w:rPr>
          <w:rFonts w:ascii="方正大标宋简体" w:eastAsia="方正大标宋简体"/>
          <w:color w:val="000000"/>
          <w:kern w:val="0"/>
          <w:sz w:val="36"/>
          <w:szCs w:val="36"/>
        </w:rPr>
      </w:pPr>
      <w:r>
        <w:rPr>
          <w:rFonts w:ascii="方正大标宋简体" w:eastAsia="方正大标宋简体"/>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99695</wp:posOffset>
                </wp:positionV>
                <wp:extent cx="5563870" cy="0"/>
                <wp:effectExtent l="0" t="0" r="0" b="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top:7.85pt;height:0pt;width:438.1pt;mso-position-horizontal:center;z-index:251659264;mso-width-relative:page;mso-height-relative:page;" filled="f" stroked="t" coordsize="21600,21600" o:gfxdata="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E5i/dQAAAAGAQAADwAAAAAAAAABACAAAAAiAAAAZHJz&#10;L2Rvd25yZXYueG1sUEsBAhQAFAAAAAgAh07iQOKrBeDPAQAArgMAAA4AAAAAAAAAAQAgAAAAIwEA&#10;AGRycy9lMm9Eb2MueG1sUEsFBgAAAAAGAAYAWQEAAGQFAAAAAA==&#10;">
                <v:fill on="f" focussize="0,0"/>
                <v:stroke color="#000000" joinstyle="round"/>
                <v:imagedata o:title=""/>
                <o:lock v:ext="edit" aspectratio="f"/>
              </v:line>
            </w:pict>
          </mc:Fallback>
        </mc:AlternateContent>
      </w:r>
    </w:p>
    <w:p>
      <w:pPr>
        <w:tabs>
          <w:tab w:val="left" w:pos="720"/>
        </w:tabs>
        <w:autoSpaceDE w:val="0"/>
        <w:autoSpaceDN w:val="0"/>
        <w:adjustRightInd w:val="0"/>
        <w:ind w:left="352" w:right="18" w:hanging="180"/>
        <w:jc w:val="center"/>
        <w:rPr>
          <w:rFonts w:asciiTheme="minorEastAsia" w:hAnsiTheme="minorEastAsia" w:eastAsiaTheme="minorEastAsia"/>
          <w:b/>
          <w:color w:val="000000"/>
          <w:kern w:val="0"/>
          <w:sz w:val="32"/>
          <w:szCs w:val="32"/>
        </w:rPr>
      </w:pPr>
      <w:r>
        <w:rPr>
          <w:rFonts w:hint="eastAsia" w:asciiTheme="minorEastAsia" w:hAnsiTheme="minorEastAsia" w:eastAsiaTheme="minorEastAsia"/>
          <w:b/>
          <w:color w:val="000000"/>
          <w:kern w:val="0"/>
          <w:sz w:val="32"/>
          <w:szCs w:val="32"/>
        </w:rPr>
        <w:t>国家市场监督管理总局</w:t>
      </w:r>
    </w:p>
    <w:p>
      <w:pPr>
        <w:tabs>
          <w:tab w:val="left" w:pos="720"/>
        </w:tabs>
        <w:autoSpaceDE w:val="0"/>
        <w:autoSpaceDN w:val="0"/>
        <w:adjustRightInd w:val="0"/>
        <w:ind w:left="352" w:right="18" w:hanging="180"/>
        <w:jc w:val="center"/>
        <w:rPr>
          <w:rFonts w:ascii="方正仿宋简体" w:eastAsia="方正仿宋简体"/>
          <w:color w:val="000000"/>
          <w:kern w:val="0"/>
          <w:sz w:val="36"/>
          <w:szCs w:val="36"/>
        </w:rPr>
        <w:sectPr>
          <w:footerReference r:id="rId5" w:type="first"/>
          <w:footerReference r:id="rId3" w:type="default"/>
          <w:footerReference r:id="rId4" w:type="even"/>
          <w:pgSz w:w="11906" w:h="16838"/>
          <w:pgMar w:top="1417" w:right="1418" w:bottom="1417" w:left="1418" w:header="851" w:footer="992" w:gutter="0"/>
          <w:pgNumType w:fmt="upperRoman" w:start="1"/>
          <w:cols w:space="0" w:num="1"/>
          <w:rtlGutter w:val="0"/>
          <w:docGrid w:type="lines" w:linePitch="312" w:charSpace="0"/>
        </w:sectPr>
      </w:pPr>
    </w:p>
    <w:p>
      <w:pPr>
        <w:tabs>
          <w:tab w:val="left" w:pos="8788"/>
        </w:tabs>
        <w:spacing w:line="240" w:lineRule="exact"/>
        <w:jc w:val="center"/>
        <w:rPr>
          <w:rFonts w:ascii="宋体" w:hAnsi="宋体"/>
          <w:b/>
          <w:color w:val="000000"/>
          <w:sz w:val="10"/>
          <w:szCs w:val="10"/>
        </w:rPr>
      </w:pPr>
    </w:p>
    <w:p>
      <w:pPr>
        <w:tabs>
          <w:tab w:val="left" w:pos="8788"/>
        </w:tabs>
        <w:spacing w:line="300" w:lineRule="auto"/>
        <w:ind w:left="1" w:right="-31" w:rightChars="-15"/>
        <w:jc w:val="center"/>
        <w:rPr>
          <w:rFonts w:asciiTheme="minorEastAsia" w:hAnsiTheme="minorEastAsia" w:eastAsiaTheme="minorEastAsia"/>
          <w:b/>
          <w:bCs/>
          <w:color w:val="000000"/>
          <w:sz w:val="32"/>
          <w:szCs w:val="32"/>
        </w:rPr>
      </w:pPr>
      <w:r>
        <w:rPr>
          <w:rFonts w:hint="eastAsia" w:asciiTheme="minorEastAsia" w:hAnsiTheme="minorEastAsia" w:eastAsiaTheme="minorEastAsia"/>
          <w:b/>
          <w:bCs/>
          <w:color w:val="000000"/>
          <w:sz w:val="32"/>
          <w:szCs w:val="32"/>
        </w:rPr>
        <w:t>目  录</w:t>
      </w:r>
    </w:p>
    <w:p>
      <w:pPr>
        <w:pStyle w:val="16"/>
        <w:rPr>
          <w:rFonts w:asciiTheme="minorHAnsi" w:hAnsiTheme="minorHAnsi" w:eastAsiaTheme="minorEastAsia" w:cstheme="minorBidi"/>
          <w:color w:val="auto"/>
          <w:sz w:val="21"/>
          <w:szCs w:val="22"/>
        </w:rPr>
      </w:pPr>
      <w:r>
        <w:rPr>
          <w:rFonts w:hint="eastAsia"/>
          <w:color w:val="auto"/>
        </w:rPr>
        <w:t>第一章</w:t>
      </w:r>
      <w:r>
        <w:rPr>
          <w:color w:val="auto"/>
        </w:rPr>
        <w:t xml:space="preserve"> </w:t>
      </w:r>
      <w:r>
        <w:rPr>
          <w:rFonts w:hint="eastAsia"/>
          <w:color w:val="auto"/>
        </w:rPr>
        <w:t>总则</w:t>
      </w:r>
      <w:r>
        <w:rPr>
          <w:color w:val="auto"/>
        </w:rPr>
        <w:tab/>
      </w:r>
      <w:r>
        <w:rPr>
          <w:color w:val="auto"/>
        </w:rPr>
        <w:t>1</w:t>
      </w:r>
    </w:p>
    <w:p>
      <w:pPr>
        <w:pStyle w:val="16"/>
        <w:rPr>
          <w:rFonts w:asciiTheme="minorHAnsi" w:hAnsiTheme="minorHAnsi" w:eastAsiaTheme="minorEastAsia" w:cstheme="minorBidi"/>
          <w:color w:val="auto"/>
          <w:sz w:val="21"/>
          <w:szCs w:val="22"/>
        </w:rPr>
      </w:pPr>
      <w:r>
        <w:rPr>
          <w:rFonts w:hint="eastAsia"/>
          <w:color w:val="auto"/>
        </w:rPr>
        <w:t>第二章</w:t>
      </w:r>
      <w:r>
        <w:rPr>
          <w:color w:val="auto"/>
        </w:rPr>
        <w:t xml:space="preserve"> </w:t>
      </w:r>
      <w:r>
        <w:rPr>
          <w:rFonts w:hint="eastAsia"/>
          <w:color w:val="auto"/>
        </w:rPr>
        <w:t>发证产品及标准</w:t>
      </w:r>
      <w:r>
        <w:rPr>
          <w:color w:val="auto"/>
        </w:rPr>
        <w:tab/>
      </w:r>
      <w:r>
        <w:rPr>
          <w:color w:val="auto"/>
        </w:rPr>
        <w:t>1</w:t>
      </w:r>
    </w:p>
    <w:p>
      <w:pPr>
        <w:pStyle w:val="16"/>
        <w:rPr>
          <w:color w:val="auto"/>
        </w:rPr>
      </w:pPr>
      <w:r>
        <w:rPr>
          <w:rFonts w:hint="eastAsia"/>
          <w:color w:val="auto"/>
        </w:rPr>
        <w:t>第三章</w:t>
      </w:r>
      <w:r>
        <w:rPr>
          <w:color w:val="auto"/>
        </w:rPr>
        <w:t xml:space="preserve">  </w:t>
      </w:r>
      <w:r>
        <w:rPr>
          <w:rFonts w:hint="eastAsia"/>
          <w:color w:val="auto"/>
        </w:rPr>
        <w:t>企业申请生产许可证的基本条件和资料</w:t>
      </w:r>
      <w:r>
        <w:rPr>
          <w:color w:val="auto"/>
        </w:rPr>
        <w:tab/>
      </w:r>
      <w:r>
        <w:rPr>
          <w:rFonts w:hint="eastAsia"/>
          <w:color w:val="auto"/>
        </w:rPr>
        <w:t>4</w:t>
      </w:r>
    </w:p>
    <w:p>
      <w:pPr>
        <w:pStyle w:val="16"/>
        <w:rPr>
          <w:rFonts w:asciiTheme="minorHAnsi" w:hAnsiTheme="minorHAnsi" w:eastAsiaTheme="minorEastAsia" w:cstheme="minorBidi"/>
          <w:color w:val="auto"/>
          <w:sz w:val="21"/>
          <w:szCs w:val="22"/>
        </w:rPr>
      </w:pPr>
      <w:r>
        <w:rPr>
          <w:rFonts w:hint="eastAsia"/>
          <w:color w:val="auto"/>
        </w:rPr>
        <w:t>第四章</w:t>
      </w:r>
      <w:r>
        <w:rPr>
          <w:color w:val="auto"/>
        </w:rPr>
        <w:t xml:space="preserve">  </w:t>
      </w:r>
      <w:r>
        <w:rPr>
          <w:rFonts w:hint="eastAsia"/>
          <w:color w:val="auto"/>
        </w:rPr>
        <w:t>产品检测报告</w:t>
      </w:r>
      <w:r>
        <w:rPr>
          <w:color w:val="auto"/>
        </w:rPr>
        <w:tab/>
      </w:r>
      <w:r>
        <w:rPr>
          <w:color w:val="auto"/>
        </w:rPr>
        <w:t>14</w:t>
      </w:r>
    </w:p>
    <w:p>
      <w:pPr>
        <w:pStyle w:val="16"/>
        <w:rPr>
          <w:rFonts w:asciiTheme="minorHAnsi" w:hAnsiTheme="minorHAnsi" w:eastAsiaTheme="minorEastAsia" w:cstheme="minorBidi"/>
          <w:color w:val="auto"/>
          <w:sz w:val="21"/>
          <w:szCs w:val="22"/>
        </w:rPr>
      </w:pPr>
      <w:r>
        <w:rPr>
          <w:rFonts w:hint="eastAsia"/>
          <w:color w:val="auto"/>
        </w:rPr>
        <w:t>第五章</w:t>
      </w:r>
      <w:r>
        <w:rPr>
          <w:color w:val="auto"/>
        </w:rPr>
        <w:t xml:space="preserve">  </w:t>
      </w:r>
      <w:r>
        <w:rPr>
          <w:rFonts w:hint="eastAsia"/>
          <w:color w:val="auto"/>
        </w:rPr>
        <w:t>企业实地核查</w:t>
      </w:r>
      <w:r>
        <w:rPr>
          <w:color w:val="auto"/>
        </w:rPr>
        <w:tab/>
      </w:r>
      <w:r>
        <w:rPr>
          <w:color w:val="auto"/>
        </w:rPr>
        <w:t>14</w:t>
      </w:r>
    </w:p>
    <w:p>
      <w:pPr>
        <w:pStyle w:val="16"/>
        <w:rPr>
          <w:rFonts w:asciiTheme="minorHAnsi" w:hAnsiTheme="minorHAnsi" w:eastAsiaTheme="minorEastAsia" w:cstheme="minorBidi"/>
          <w:color w:val="auto"/>
          <w:sz w:val="21"/>
          <w:szCs w:val="22"/>
        </w:rPr>
      </w:pPr>
      <w:r>
        <w:rPr>
          <w:rFonts w:hint="eastAsia"/>
          <w:color w:val="auto"/>
        </w:rPr>
        <w:t>第六章</w:t>
      </w:r>
      <w:r>
        <w:rPr>
          <w:color w:val="auto"/>
        </w:rPr>
        <w:t xml:space="preserve">  </w:t>
      </w:r>
      <w:r>
        <w:rPr>
          <w:rFonts w:hint="eastAsia"/>
          <w:color w:val="auto"/>
        </w:rPr>
        <w:t>证书许可范围</w:t>
      </w:r>
      <w:r>
        <w:rPr>
          <w:color w:val="auto"/>
        </w:rPr>
        <w:tab/>
      </w:r>
      <w:r>
        <w:rPr>
          <w:color w:val="auto"/>
        </w:rPr>
        <w:t>16</w:t>
      </w:r>
    </w:p>
    <w:p>
      <w:pPr>
        <w:pStyle w:val="16"/>
        <w:rPr>
          <w:rFonts w:asciiTheme="minorHAnsi" w:hAnsiTheme="minorHAnsi" w:eastAsiaTheme="minorEastAsia" w:cstheme="minorBidi"/>
          <w:color w:val="auto"/>
          <w:sz w:val="21"/>
          <w:szCs w:val="22"/>
        </w:rPr>
      </w:pPr>
      <w:r>
        <w:rPr>
          <w:rFonts w:hint="eastAsia"/>
          <w:color w:val="auto"/>
        </w:rPr>
        <w:t>第七章</w:t>
      </w:r>
      <w:r>
        <w:rPr>
          <w:color w:val="auto"/>
        </w:rPr>
        <w:t xml:space="preserve">  </w:t>
      </w:r>
      <w:r>
        <w:rPr>
          <w:rFonts w:hint="eastAsia"/>
          <w:color w:val="auto"/>
        </w:rPr>
        <w:t>附则</w:t>
      </w:r>
      <w:r>
        <w:rPr>
          <w:color w:val="auto"/>
        </w:rPr>
        <w:tab/>
      </w:r>
      <w:r>
        <w:rPr>
          <w:color w:val="auto"/>
        </w:rPr>
        <w:t>18</w:t>
      </w:r>
    </w:p>
    <w:p>
      <w:pPr>
        <w:pStyle w:val="9"/>
        <w:tabs>
          <w:tab w:val="right" w:leader="dot" w:pos="9060"/>
        </w:tabs>
        <w:rPr>
          <w:rFonts w:asciiTheme="minorHAnsi" w:hAnsiTheme="minorHAnsi" w:eastAsiaTheme="minorEastAsia" w:cstheme="minorBidi"/>
          <w:sz w:val="21"/>
          <w:szCs w:val="22"/>
        </w:rPr>
      </w:pPr>
      <w:r>
        <w:rPr>
          <w:rFonts w:hint="eastAsia" w:asciiTheme="minorEastAsia" w:hAnsiTheme="minorEastAsia"/>
          <w:color w:val="auto"/>
        </w:rPr>
        <w:t>附件</w:t>
      </w:r>
      <w:r>
        <w:rPr>
          <w:rFonts w:asciiTheme="minorEastAsia" w:hAnsiTheme="minorEastAsia"/>
          <w:color w:val="auto"/>
        </w:rPr>
        <w:t>1</w:t>
      </w:r>
      <w:r>
        <w:rPr>
          <w:rFonts w:hint="eastAsia"/>
          <w:color w:val="auto"/>
        </w:rPr>
        <w:t>预应力混凝土铁路桥简支梁</w:t>
      </w:r>
      <w:r>
        <w:rPr>
          <w:rFonts w:hint="eastAsia"/>
          <w:color w:val="auto"/>
          <w:kern w:val="0"/>
        </w:rPr>
        <w:t>产品</w:t>
      </w:r>
      <w:r>
        <w:rPr>
          <w:rFonts w:hint="eastAsia"/>
          <w:color w:val="auto"/>
        </w:rPr>
        <w:t>检验项目、依据标准及重要度分级表</w:t>
      </w:r>
      <w:r>
        <w:tab/>
      </w:r>
      <w:r>
        <w:t>19</w:t>
      </w:r>
    </w:p>
    <w:p>
      <w:pPr>
        <w:pStyle w:val="9"/>
        <w:tabs>
          <w:tab w:val="right" w:leader="dot" w:pos="9060"/>
        </w:tabs>
        <w:rPr>
          <w:rFonts w:asciiTheme="minorHAnsi" w:hAnsiTheme="minorHAnsi" w:eastAsiaTheme="minorEastAsia" w:cstheme="minorBidi"/>
          <w:sz w:val="21"/>
          <w:szCs w:val="22"/>
        </w:rPr>
      </w:pPr>
      <w:r>
        <w:rPr>
          <w:rFonts w:hint="eastAsia" w:asciiTheme="minorEastAsia" w:hAnsiTheme="minorEastAsia"/>
          <w:color w:val="auto"/>
        </w:rPr>
        <w:t>附件</w:t>
      </w:r>
      <w:r>
        <w:rPr>
          <w:rFonts w:asciiTheme="minorEastAsia" w:hAnsiTheme="minorEastAsia"/>
          <w:color w:val="auto"/>
        </w:rPr>
        <w:t xml:space="preserve">1-1 </w:t>
      </w:r>
      <w:r>
        <w:rPr>
          <w:rFonts w:hint="eastAsia"/>
          <w:color w:val="auto"/>
        </w:rPr>
        <w:t>后张法</w:t>
      </w:r>
      <w:r>
        <w:rPr>
          <w:color w:val="auto"/>
        </w:rPr>
        <w:t>/</w:t>
      </w:r>
      <w:r>
        <w:rPr>
          <w:rFonts w:hint="eastAsia"/>
          <w:color w:val="auto"/>
        </w:rPr>
        <w:t>先张法预应力混凝土</w:t>
      </w:r>
      <w:r>
        <w:rPr>
          <w:color w:val="auto"/>
        </w:rPr>
        <w:t>T</w:t>
      </w:r>
      <w:r>
        <w:rPr>
          <w:rFonts w:hint="eastAsia"/>
          <w:color w:val="auto"/>
        </w:rPr>
        <w:t>型简支梁</w:t>
      </w:r>
      <w:r>
        <w:rPr>
          <w:rFonts w:hint="eastAsia"/>
          <w:color w:val="auto"/>
          <w:kern w:val="0"/>
        </w:rPr>
        <w:t>产品</w:t>
      </w:r>
      <w:r>
        <w:rPr>
          <w:rFonts w:hint="eastAsia"/>
          <w:color w:val="auto"/>
        </w:rPr>
        <w:t>检验项目、依据标准及重要度分级表</w:t>
      </w:r>
      <w:r>
        <w:tab/>
      </w:r>
      <w:r>
        <w:rPr>
          <w:rFonts w:hint="eastAsia"/>
        </w:rPr>
        <w:t>20</w:t>
      </w:r>
    </w:p>
    <w:p>
      <w:pPr>
        <w:pStyle w:val="9"/>
        <w:tabs>
          <w:tab w:val="right" w:leader="dot" w:pos="9060"/>
        </w:tabs>
        <w:rPr>
          <w:rFonts w:asciiTheme="minorHAnsi" w:hAnsiTheme="minorHAnsi" w:eastAsiaTheme="minorEastAsia" w:cstheme="minorBidi"/>
          <w:sz w:val="21"/>
          <w:szCs w:val="22"/>
        </w:rPr>
      </w:pPr>
      <w:r>
        <w:rPr>
          <w:rFonts w:hint="eastAsia"/>
          <w:color w:val="auto"/>
        </w:rPr>
        <w:t>附件</w:t>
      </w:r>
      <w:r>
        <w:rPr>
          <w:color w:val="auto"/>
        </w:rPr>
        <w:t xml:space="preserve">1-2 </w:t>
      </w:r>
      <w:r>
        <w:rPr>
          <w:rFonts w:hint="eastAsia"/>
          <w:color w:val="auto"/>
        </w:rPr>
        <w:t>后张法</w:t>
      </w:r>
      <w:r>
        <w:rPr>
          <w:color w:val="auto"/>
        </w:rPr>
        <w:t>/</w:t>
      </w:r>
      <w:r>
        <w:rPr>
          <w:rFonts w:hint="eastAsia"/>
          <w:color w:val="auto"/>
        </w:rPr>
        <w:t>先张法预应力混凝土箱型简支梁</w:t>
      </w:r>
      <w:r>
        <w:rPr>
          <w:rFonts w:hint="eastAsia"/>
          <w:color w:val="auto"/>
          <w:kern w:val="0"/>
        </w:rPr>
        <w:t>产品</w:t>
      </w:r>
      <w:r>
        <w:rPr>
          <w:rFonts w:hint="eastAsia"/>
          <w:color w:val="auto"/>
        </w:rPr>
        <w:t>检验项目、依据标准及重要度分级表</w:t>
      </w:r>
      <w:r>
        <w:tab/>
      </w:r>
      <w:r>
        <w:rPr>
          <w:rFonts w:hint="eastAsia"/>
        </w:rPr>
        <w:t>27</w:t>
      </w:r>
    </w:p>
    <w:p>
      <w:pPr>
        <w:pStyle w:val="9"/>
        <w:tabs>
          <w:tab w:val="right" w:leader="dot" w:pos="9060"/>
        </w:tabs>
        <w:rPr>
          <w:rFonts w:asciiTheme="minorHAnsi" w:hAnsiTheme="minorHAnsi" w:eastAsiaTheme="minorEastAsia" w:cstheme="minorBidi"/>
          <w:sz w:val="21"/>
          <w:szCs w:val="22"/>
        </w:rPr>
      </w:pPr>
      <w:r>
        <w:rPr>
          <w:rFonts w:hint="eastAsia"/>
        </w:rPr>
        <w:t>附件</w:t>
      </w:r>
      <w:r>
        <w:t xml:space="preserve">2 </w:t>
      </w:r>
      <w:r>
        <w:rPr>
          <w:rFonts w:hint="eastAsia"/>
        </w:rPr>
        <w:t>企业核查时准备书面材料清单</w:t>
      </w:r>
      <w:r>
        <w:tab/>
      </w:r>
      <w:r>
        <w:t>33</w:t>
      </w:r>
    </w:p>
    <w:p>
      <w:pPr>
        <w:pStyle w:val="9"/>
        <w:tabs>
          <w:tab w:val="right" w:leader="dot" w:pos="9060"/>
        </w:tabs>
        <w:rPr>
          <w:rFonts w:asciiTheme="minorHAnsi" w:hAnsiTheme="minorHAnsi" w:eastAsiaTheme="minorEastAsia" w:cstheme="minorBidi"/>
          <w:sz w:val="21"/>
          <w:szCs w:val="22"/>
        </w:rPr>
      </w:pPr>
      <w:r>
        <w:rPr>
          <w:rFonts w:hint="eastAsia" w:asciiTheme="minorEastAsia" w:hAnsiTheme="minorEastAsia"/>
        </w:rPr>
        <w:t>附件</w:t>
      </w:r>
      <w:r>
        <w:rPr>
          <w:rFonts w:asciiTheme="minorEastAsia" w:hAnsiTheme="minorEastAsia"/>
        </w:rPr>
        <w:t>2-1</w:t>
      </w:r>
      <w:r>
        <w:rPr>
          <w:rFonts w:hint="eastAsia" w:ascii="宋体" w:hAnsi="宋体"/>
        </w:rPr>
        <w:t>企业生产预应力混凝土铁路桥简支梁产品主要工艺流程图</w:t>
      </w:r>
      <w:r>
        <w:tab/>
      </w:r>
      <w:r>
        <w:t>34</w:t>
      </w:r>
    </w:p>
    <w:p>
      <w:pPr>
        <w:pStyle w:val="9"/>
        <w:tabs>
          <w:tab w:val="right" w:leader="dot" w:pos="9060"/>
        </w:tabs>
        <w:rPr>
          <w:rFonts w:asciiTheme="minorHAnsi" w:hAnsiTheme="minorHAnsi" w:eastAsiaTheme="minorEastAsia" w:cstheme="minorBidi"/>
          <w:sz w:val="21"/>
          <w:szCs w:val="22"/>
        </w:rPr>
      </w:pPr>
      <w:r>
        <w:rPr>
          <w:rFonts w:hint="eastAsia" w:asciiTheme="minorEastAsia" w:hAnsiTheme="minorEastAsia"/>
        </w:rPr>
        <w:t>附件</w:t>
      </w:r>
      <w:r>
        <w:rPr>
          <w:rFonts w:asciiTheme="minorEastAsia" w:hAnsiTheme="minorEastAsia"/>
        </w:rPr>
        <w:t xml:space="preserve">2-2 </w:t>
      </w:r>
      <w:r>
        <w:rPr>
          <w:rFonts w:hint="eastAsia"/>
        </w:rPr>
        <w:t>企业生产预应力混凝土铁路桥简支梁产品生产设施和检验设施表</w:t>
      </w:r>
      <w:r>
        <w:tab/>
      </w:r>
      <w:r>
        <w:t>35</w:t>
      </w:r>
    </w:p>
    <w:p>
      <w:pPr>
        <w:pStyle w:val="9"/>
        <w:tabs>
          <w:tab w:val="right" w:leader="dot" w:pos="9060"/>
        </w:tabs>
        <w:rPr>
          <w:rFonts w:asciiTheme="minorHAnsi" w:hAnsiTheme="minorHAnsi" w:eastAsiaTheme="minorEastAsia" w:cstheme="minorBidi"/>
          <w:sz w:val="21"/>
          <w:szCs w:val="22"/>
        </w:rPr>
      </w:pPr>
      <w:r>
        <w:rPr>
          <w:rFonts w:hint="eastAsia" w:asciiTheme="minorEastAsia" w:hAnsiTheme="minorEastAsia"/>
        </w:rPr>
        <w:t>附件</w:t>
      </w:r>
      <w:r>
        <w:rPr>
          <w:rFonts w:asciiTheme="minorEastAsia" w:hAnsiTheme="minorEastAsia"/>
        </w:rPr>
        <w:t xml:space="preserve">2-3 </w:t>
      </w:r>
      <w:r>
        <w:rPr>
          <w:rFonts w:hint="eastAsia" w:ascii="宋体" w:hAnsi="宋体"/>
        </w:rPr>
        <w:t>企业生产预应力混凝土铁路桥简支梁产品生产场所示意图</w:t>
      </w:r>
      <w:r>
        <w:tab/>
      </w:r>
      <w:r>
        <w:t>36</w:t>
      </w:r>
    </w:p>
    <w:p>
      <w:pPr>
        <w:pStyle w:val="9"/>
        <w:tabs>
          <w:tab w:val="right" w:leader="dot" w:pos="9060"/>
        </w:tabs>
        <w:rPr>
          <w:rFonts w:asciiTheme="minorHAnsi" w:hAnsiTheme="minorHAnsi" w:eastAsiaTheme="minorEastAsia" w:cstheme="minorBidi"/>
          <w:sz w:val="21"/>
          <w:szCs w:val="22"/>
        </w:rPr>
      </w:pPr>
      <w:r>
        <w:rPr>
          <w:rFonts w:hint="eastAsia" w:asciiTheme="minorEastAsia" w:hAnsiTheme="minorEastAsia"/>
        </w:rPr>
        <w:t>附件</w:t>
      </w:r>
      <w:r>
        <w:rPr>
          <w:rFonts w:asciiTheme="minorEastAsia" w:hAnsiTheme="minorEastAsia"/>
        </w:rPr>
        <w:t xml:space="preserve">2-4 </w:t>
      </w:r>
      <w:r>
        <w:rPr>
          <w:rFonts w:hint="eastAsia"/>
        </w:rPr>
        <w:t>企业生产预应力混凝土铁路桥简支梁产品生产设备、工艺装备表</w:t>
      </w:r>
      <w:r>
        <w:tab/>
      </w:r>
      <w:r>
        <w:t>37</w:t>
      </w:r>
    </w:p>
    <w:p>
      <w:pPr>
        <w:pStyle w:val="9"/>
        <w:tabs>
          <w:tab w:val="right" w:leader="dot" w:pos="9060"/>
        </w:tabs>
        <w:rPr>
          <w:rFonts w:asciiTheme="minorHAnsi" w:hAnsiTheme="minorHAnsi" w:eastAsiaTheme="minorEastAsia" w:cstheme="minorBidi"/>
          <w:sz w:val="21"/>
          <w:szCs w:val="22"/>
        </w:rPr>
      </w:pPr>
      <w:r>
        <w:rPr>
          <w:rFonts w:hint="eastAsia"/>
        </w:rPr>
        <w:t>附件</w:t>
      </w:r>
      <w:r>
        <w:t xml:space="preserve">2-5 </w:t>
      </w:r>
      <w:r>
        <w:rPr>
          <w:rFonts w:hint="eastAsia"/>
        </w:rPr>
        <w:t>企业生产预应力混凝土铁路桥简支梁产品检验设备表</w:t>
      </w:r>
      <w:r>
        <w:tab/>
      </w:r>
      <w:r>
        <w:t>38</w:t>
      </w:r>
    </w:p>
    <w:p>
      <w:pPr>
        <w:pStyle w:val="14"/>
        <w:tabs>
          <w:tab w:val="right" w:leader="dot" w:pos="9060"/>
        </w:tabs>
        <w:rPr>
          <w:rFonts w:asciiTheme="minorHAnsi" w:hAnsiTheme="minorHAnsi" w:eastAsiaTheme="minorEastAsia" w:cstheme="minorBidi"/>
          <w:sz w:val="21"/>
          <w:szCs w:val="22"/>
        </w:rPr>
      </w:pPr>
      <w:r>
        <w:rPr>
          <w:rFonts w:hint="eastAsia" w:ascii="宋体" w:hAnsi="宋体"/>
        </w:rPr>
        <w:t>附件</w:t>
      </w:r>
      <w:r>
        <w:rPr>
          <w:rFonts w:ascii="宋体" w:hAnsi="宋体"/>
        </w:rPr>
        <w:t>2-6</w:t>
      </w:r>
      <w:r>
        <w:rPr>
          <w:rFonts w:hint="eastAsia" w:ascii="宋体" w:hAnsi="宋体"/>
        </w:rPr>
        <w:t>企业生产预应力混凝土铁路桥简支梁产品重要原材料明细表</w:t>
      </w:r>
      <w:r>
        <w:tab/>
      </w:r>
      <w:r>
        <w:t>39</w:t>
      </w:r>
    </w:p>
    <w:p>
      <w:pPr>
        <w:pStyle w:val="9"/>
        <w:tabs>
          <w:tab w:val="right" w:leader="dot" w:pos="9060"/>
        </w:tabs>
        <w:rPr>
          <w:rFonts w:asciiTheme="minorHAnsi" w:hAnsiTheme="minorHAnsi" w:eastAsiaTheme="minorEastAsia" w:cstheme="minorBidi"/>
          <w:sz w:val="21"/>
          <w:szCs w:val="22"/>
        </w:rPr>
      </w:pPr>
      <w:r>
        <w:rPr>
          <w:rFonts w:hint="eastAsia" w:asciiTheme="minorEastAsia" w:hAnsiTheme="minorEastAsia"/>
        </w:rPr>
        <w:t>附件</w:t>
      </w:r>
      <w:r>
        <w:rPr>
          <w:rFonts w:asciiTheme="minorEastAsia" w:hAnsiTheme="minorEastAsia"/>
        </w:rPr>
        <w:t>2-7</w:t>
      </w:r>
      <w:r>
        <w:rPr>
          <w:rFonts w:hint="eastAsia"/>
        </w:rPr>
        <w:t>关键岗位专业技术人员表</w:t>
      </w:r>
      <w:r>
        <w:tab/>
      </w:r>
      <w:r>
        <w:t>40</w:t>
      </w:r>
    </w:p>
    <w:p>
      <w:pPr>
        <w:pStyle w:val="9"/>
        <w:tabs>
          <w:tab w:val="right" w:leader="dot" w:pos="9060"/>
        </w:tabs>
        <w:rPr>
          <w:rFonts w:asciiTheme="minorHAnsi" w:hAnsiTheme="minorHAnsi" w:eastAsiaTheme="minorEastAsia" w:cstheme="minorBidi"/>
          <w:sz w:val="21"/>
          <w:szCs w:val="22"/>
        </w:rPr>
      </w:pPr>
      <w:r>
        <w:rPr>
          <w:rFonts w:hint="eastAsia" w:asciiTheme="minorEastAsia" w:hAnsiTheme="minorEastAsia"/>
        </w:rPr>
        <w:t>附件</w:t>
      </w:r>
      <w:r>
        <w:rPr>
          <w:rFonts w:asciiTheme="minorEastAsia" w:hAnsiTheme="minorEastAsia"/>
        </w:rPr>
        <w:t>2-8</w:t>
      </w:r>
      <w:r>
        <w:rPr>
          <w:rFonts w:hint="eastAsia"/>
        </w:rPr>
        <w:t>产品技术文件和工艺文件清单</w:t>
      </w:r>
      <w:r>
        <w:tab/>
      </w:r>
      <w:r>
        <w:rPr>
          <w:rFonts w:hint="eastAsia"/>
        </w:rPr>
        <w:t>40</w:t>
      </w:r>
    </w:p>
    <w:p>
      <w:pPr>
        <w:pStyle w:val="9"/>
        <w:tabs>
          <w:tab w:val="right" w:leader="dot" w:pos="9060"/>
        </w:tabs>
        <w:rPr>
          <w:rFonts w:asciiTheme="minorHAnsi" w:hAnsiTheme="minorHAnsi" w:eastAsiaTheme="minorEastAsia" w:cstheme="minorBidi"/>
          <w:sz w:val="21"/>
          <w:szCs w:val="22"/>
        </w:rPr>
      </w:pPr>
      <w:r>
        <w:rPr>
          <w:rFonts w:hint="eastAsia" w:asciiTheme="minorEastAsia" w:hAnsiTheme="minorEastAsia"/>
        </w:rPr>
        <w:t>附件</w:t>
      </w:r>
      <w:r>
        <w:rPr>
          <w:rFonts w:asciiTheme="minorEastAsia" w:hAnsiTheme="minorEastAsia"/>
        </w:rPr>
        <w:t>3</w:t>
      </w:r>
      <w:r>
        <w:rPr>
          <w:rFonts w:hint="eastAsia"/>
        </w:rPr>
        <w:t>预应力混凝土铁路桥简支梁产品生产许可证企业实地核查办法</w:t>
      </w:r>
      <w:r>
        <w:tab/>
      </w:r>
      <w:r>
        <w:t>42</w:t>
      </w:r>
    </w:p>
    <w:p>
      <w:pPr>
        <w:pStyle w:val="9"/>
        <w:tabs>
          <w:tab w:val="right" w:leader="dot" w:pos="9060"/>
        </w:tabs>
        <w:rPr>
          <w:rFonts w:asciiTheme="minorHAnsi" w:hAnsiTheme="minorHAnsi" w:eastAsiaTheme="minorEastAsia" w:cstheme="minorBidi"/>
          <w:sz w:val="21"/>
          <w:szCs w:val="22"/>
        </w:rPr>
      </w:pPr>
      <w:r>
        <w:rPr>
          <w:rFonts w:hint="eastAsia"/>
        </w:rPr>
        <w:t>附件</w:t>
      </w:r>
      <w:r>
        <w:rPr>
          <w:rFonts w:ascii="宋体" w:hAnsi="宋体"/>
        </w:rPr>
        <w:t>4</w:t>
      </w:r>
      <w:r>
        <w:rPr>
          <w:rFonts w:hint="eastAsia" w:ascii="宋体" w:hAnsi="宋体"/>
        </w:rPr>
        <w:t>企业实地核查不符合和建议改进条款汇总表</w:t>
      </w:r>
      <w:r>
        <w:tab/>
      </w:r>
      <w:r>
        <w:t>55</w:t>
      </w:r>
    </w:p>
    <w:p>
      <w:pPr>
        <w:pStyle w:val="9"/>
        <w:tabs>
          <w:tab w:val="right" w:leader="dot" w:pos="9060"/>
        </w:tabs>
        <w:rPr>
          <w:rFonts w:asciiTheme="minorHAnsi" w:hAnsiTheme="minorHAnsi" w:eastAsiaTheme="minorEastAsia" w:cstheme="minorBidi"/>
          <w:sz w:val="21"/>
          <w:szCs w:val="22"/>
        </w:rPr>
      </w:pPr>
      <w:r>
        <w:rPr>
          <w:rFonts w:hint="eastAsia"/>
        </w:rPr>
        <w:t>附件</w:t>
      </w:r>
      <w:r>
        <w:rPr>
          <w:rFonts w:ascii="宋体" w:hAnsi="宋体"/>
        </w:rPr>
        <w:t xml:space="preserve">5 </w:t>
      </w:r>
      <w:r>
        <w:rPr>
          <w:rFonts w:hint="eastAsia" w:ascii="宋体" w:hAnsi="宋体"/>
        </w:rPr>
        <w:t>生产许可证企业实地核查报告</w:t>
      </w:r>
      <w:r>
        <w:tab/>
      </w:r>
      <w:r>
        <w:t>56</w:t>
      </w:r>
    </w:p>
    <w:p>
      <w:pPr>
        <w:pStyle w:val="9"/>
        <w:tabs>
          <w:tab w:val="right" w:leader="dot" w:pos="9060"/>
        </w:tabs>
        <w:rPr>
          <w:rFonts w:asciiTheme="minorHAnsi" w:hAnsiTheme="minorHAnsi" w:eastAsiaTheme="minorEastAsia" w:cstheme="minorBidi"/>
          <w:sz w:val="21"/>
          <w:szCs w:val="22"/>
        </w:rPr>
      </w:pPr>
      <w:r>
        <w:rPr>
          <w:rFonts w:hint="eastAsia" w:ascii="宋体" w:hAnsi="宋体"/>
        </w:rPr>
        <w:t>附件6</w:t>
      </w:r>
      <w:r>
        <w:rPr>
          <w:rFonts w:ascii="宋体" w:hAnsi="宋体"/>
        </w:rPr>
        <w:t xml:space="preserve"> </w:t>
      </w:r>
      <w:r>
        <w:rPr>
          <w:rFonts w:hint="eastAsia" w:ascii="宋体" w:hAnsi="宋体"/>
        </w:rPr>
        <w:t>本实施细则与旧版细则主要内容对比表</w:t>
      </w:r>
      <w:r>
        <w:tab/>
      </w:r>
      <w:r>
        <w:rPr>
          <w:rFonts w:hint="eastAsia"/>
        </w:rPr>
        <w:t>57</w:t>
      </w:r>
    </w:p>
    <w:p>
      <w:pPr>
        <w:tabs>
          <w:tab w:val="left" w:pos="8788"/>
        </w:tabs>
        <w:adjustRightInd w:val="0"/>
        <w:snapToGrid w:val="0"/>
        <w:spacing w:line="360" w:lineRule="auto"/>
        <w:rPr>
          <w:rFonts w:ascii="宋体" w:hAnsi="宋体"/>
          <w:color w:val="000000"/>
          <w:sz w:val="24"/>
          <w:szCs w:val="28"/>
        </w:rPr>
        <w:sectPr>
          <w:footerReference r:id="rId6" w:type="default"/>
          <w:pgSz w:w="11906" w:h="16838"/>
          <w:pgMar w:top="1417" w:right="1418" w:bottom="1417" w:left="1418" w:header="851" w:footer="992" w:gutter="0"/>
          <w:pgNumType w:fmt="upperRoman" w:start="1"/>
          <w:cols w:space="0" w:num="1"/>
          <w:rtlGutter w:val="0"/>
          <w:docGrid w:type="lines" w:linePitch="312" w:charSpace="0"/>
        </w:sectPr>
      </w:pPr>
    </w:p>
    <w:p>
      <w:pPr>
        <w:tabs>
          <w:tab w:val="left" w:pos="720"/>
        </w:tabs>
        <w:autoSpaceDE w:val="0"/>
        <w:autoSpaceDN w:val="0"/>
        <w:adjustRightInd w:val="0"/>
        <w:ind w:left="352" w:right="18" w:hanging="180"/>
        <w:jc w:val="center"/>
        <w:rPr>
          <w:rFonts w:hint="eastAsia" w:ascii="宋体" w:hAnsi="宋体" w:eastAsia="宋体"/>
          <w:b/>
          <w:color w:val="000000"/>
          <w:kern w:val="0"/>
          <w:sz w:val="44"/>
          <w:szCs w:val="44"/>
          <w:lang w:eastAsia="zh-CN"/>
        </w:rPr>
      </w:pPr>
      <w:r>
        <w:rPr>
          <w:rFonts w:hint="eastAsia" w:ascii="宋体" w:hAnsi="宋体"/>
          <w:b/>
          <w:color w:val="000000"/>
          <w:kern w:val="0"/>
          <w:sz w:val="44"/>
          <w:szCs w:val="44"/>
        </w:rPr>
        <w:t>预应力混凝土铁路桥简支梁产品生产许可证</w:t>
      </w:r>
    </w:p>
    <w:p>
      <w:pPr>
        <w:tabs>
          <w:tab w:val="left" w:pos="720"/>
        </w:tabs>
        <w:autoSpaceDE w:val="0"/>
        <w:autoSpaceDN w:val="0"/>
        <w:adjustRightInd w:val="0"/>
        <w:ind w:left="352" w:right="18" w:hanging="180"/>
        <w:jc w:val="center"/>
        <w:rPr>
          <w:rFonts w:ascii="MS+Sans+Serif" w:eastAsia="MS+Sans+Serif"/>
          <w:color w:val="FF0000"/>
          <w:kern w:val="0"/>
          <w:sz w:val="44"/>
          <w:szCs w:val="44"/>
        </w:rPr>
      </w:pPr>
      <w:r>
        <w:rPr>
          <w:rFonts w:hint="eastAsia" w:ascii="宋体" w:hAnsi="宋体"/>
          <w:b/>
          <w:color w:val="000000"/>
          <w:kern w:val="0"/>
          <w:sz w:val="44"/>
          <w:szCs w:val="44"/>
        </w:rPr>
        <w:t>实施细则</w:t>
      </w:r>
    </w:p>
    <w:p>
      <w:pPr>
        <w:pStyle w:val="4"/>
        <w:spacing w:before="100" w:beforeAutospacing="1" w:after="100" w:afterAutospacing="1"/>
        <w:jc w:val="center"/>
        <w:rPr>
          <w:rFonts w:hint="eastAsia"/>
          <w:sz w:val="28"/>
          <w:szCs w:val="28"/>
        </w:rPr>
      </w:pPr>
      <w:bookmarkStart w:id="0" w:name="_Toc524357722"/>
      <w:r>
        <w:rPr>
          <w:rFonts w:hint="eastAsia"/>
          <w:sz w:val="28"/>
          <w:szCs w:val="28"/>
        </w:rPr>
        <w:t>第一章 总则</w:t>
      </w:r>
      <w:bookmarkEnd w:id="0"/>
    </w:p>
    <w:p>
      <w:pPr>
        <w:pStyle w:val="40"/>
        <w:keepNext w:val="0"/>
        <w:keepLines w:val="0"/>
        <w:pageBreakBefore w:val="0"/>
        <w:widowControl w:val="0"/>
        <w:numPr>
          <w:ilvl w:val="0"/>
          <w:numId w:val="1"/>
        </w:numPr>
        <w:kinsoku/>
        <w:wordWrap/>
        <w:overflowPunct/>
        <w:topLinePunct w:val="0"/>
        <w:autoSpaceDE/>
        <w:autoSpaceDN/>
        <w:bidi w:val="0"/>
        <w:adjustRightInd/>
        <w:snapToGrid/>
        <w:spacing w:line="348" w:lineRule="auto"/>
        <w:ind w:left="0" w:firstLine="420" w:firstLineChars="200"/>
        <w:textAlignment w:val="auto"/>
        <w:outlineLvl w:val="9"/>
        <w:rPr>
          <w:rFonts w:ascii="宋体" w:hAnsi="宋体" w:cs="宋体"/>
          <w:b/>
        </w:rPr>
      </w:pPr>
      <w:r>
        <w:rPr>
          <w:rFonts w:hint="eastAsia" w:ascii="宋体" w:hAnsi="宋体" w:cs="宋体"/>
          <w:color w:val="000000"/>
        </w:rPr>
        <w:t>为了做好预应力混凝土铁路桥简支梁产品生产许可</w:t>
      </w:r>
      <w:r>
        <w:rPr>
          <w:rFonts w:hint="eastAsia" w:ascii="宋体" w:hAnsi="宋体" w:cs="宋体"/>
        </w:rPr>
        <w:t>证审查工作，</w:t>
      </w:r>
      <w:r>
        <w:rPr>
          <w:rFonts w:hint="eastAsia" w:ascii="宋体" w:hAnsi="宋体" w:cs="宋体"/>
          <w:color w:val="000000"/>
        </w:rPr>
        <w:t>依据《中华人民共和国工业产品生产许可证管理条例》、《国务院关于进一步压减工业产品生产许可证管理目录和简化审批程序的决定》、《中华人民共和国工业产品生产许可证管理条例实施办法》、《市场监管总局关于贯彻落实〈国务院关于进一步压减工业产品生产许可证管理目录和简化审批程序的决定〉有关事项的通知》、《工业产品生产许可证实施细则通则》（以下简称通则）等规定，制定本工业产品生产许可证实施细则(以下简称细则)。</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48" w:lineRule="auto"/>
        <w:ind w:left="0" w:firstLine="422" w:firstLineChars="0"/>
        <w:textAlignment w:val="auto"/>
        <w:outlineLvl w:val="9"/>
        <w:rPr>
          <w:rFonts w:ascii="宋体" w:hAnsi="宋体" w:cs="宋体"/>
        </w:rPr>
      </w:pPr>
      <w:r>
        <w:rPr>
          <w:rFonts w:hint="eastAsia" w:ascii="宋体" w:hAnsi="宋体" w:cs="宋体"/>
        </w:rPr>
        <w:t>本细则适用于预应力混凝土铁路桥简支梁产品生产许可的实地核查、产品检验等工作,应与通则一并使用。</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48" w:lineRule="auto"/>
        <w:ind w:left="0" w:firstLine="422" w:firstLineChars="0"/>
        <w:textAlignment w:val="auto"/>
        <w:outlineLvl w:val="9"/>
        <w:rPr>
          <w:rFonts w:ascii="宋体" w:hAnsi="宋体" w:cs="宋体"/>
        </w:rPr>
      </w:pPr>
      <w:r>
        <w:rPr>
          <w:rFonts w:hint="eastAsia" w:ascii="宋体" w:hAnsi="宋体" w:cs="宋体"/>
        </w:rPr>
        <w:t>预应力混凝土铁路桥简支梁产品由国家市场监督管理总局发证。</w:t>
      </w:r>
    </w:p>
    <w:p>
      <w:pPr>
        <w:pStyle w:val="4"/>
        <w:spacing w:before="100" w:beforeAutospacing="1" w:after="100" w:afterAutospacing="1"/>
        <w:jc w:val="center"/>
        <w:rPr>
          <w:rFonts w:hint="eastAsia"/>
          <w:sz w:val="28"/>
          <w:szCs w:val="28"/>
        </w:rPr>
      </w:pPr>
      <w:bookmarkStart w:id="1" w:name="_Toc524357723"/>
      <w:r>
        <w:rPr>
          <w:rFonts w:hint="eastAsia"/>
          <w:sz w:val="28"/>
          <w:szCs w:val="28"/>
        </w:rPr>
        <w:t>第二章 发证产品及标准</w:t>
      </w:r>
      <w:bookmarkEnd w:id="1"/>
    </w:p>
    <w:p>
      <w:pPr>
        <w:pStyle w:val="40"/>
        <w:keepNext w:val="0"/>
        <w:keepLines w:val="0"/>
        <w:pageBreakBefore w:val="0"/>
        <w:widowControl w:val="0"/>
        <w:numPr>
          <w:ilvl w:val="0"/>
          <w:numId w:val="1"/>
        </w:numPr>
        <w:kinsoku/>
        <w:wordWrap/>
        <w:overflowPunct/>
        <w:topLinePunct w:val="0"/>
        <w:autoSpaceDE/>
        <w:autoSpaceDN/>
        <w:bidi w:val="0"/>
        <w:adjustRightInd/>
        <w:snapToGrid/>
        <w:spacing w:line="348" w:lineRule="auto"/>
        <w:ind w:left="0" w:firstLine="422" w:firstLineChars="0"/>
        <w:textAlignment w:val="auto"/>
        <w:outlineLvl w:val="9"/>
        <w:rPr>
          <w:rFonts w:ascii="宋体" w:hAnsi="宋体" w:cs="宋体"/>
        </w:rPr>
      </w:pPr>
      <w:r>
        <w:rPr>
          <w:rFonts w:hint="eastAsia" w:ascii="宋体" w:hAnsi="宋体" w:cs="宋体"/>
        </w:rPr>
        <w:t>本细则发证产品定义、范围及单元划分</w:t>
      </w:r>
    </w:p>
    <w:p>
      <w:pPr>
        <w:pStyle w:val="40"/>
        <w:keepNext w:val="0"/>
        <w:keepLines w:val="0"/>
        <w:pageBreakBefore w:val="0"/>
        <w:widowControl w:val="0"/>
        <w:numPr>
          <w:ilvl w:val="0"/>
          <w:numId w:val="2"/>
        </w:numPr>
        <w:kinsoku/>
        <w:wordWrap/>
        <w:overflowPunct/>
        <w:topLinePunct w:val="0"/>
        <w:autoSpaceDE/>
        <w:autoSpaceDN/>
        <w:bidi w:val="0"/>
        <w:adjustRightInd/>
        <w:snapToGrid/>
        <w:spacing w:line="348" w:lineRule="auto"/>
        <w:ind w:firstLineChars="0"/>
        <w:textAlignment w:val="auto"/>
        <w:outlineLvl w:val="9"/>
        <w:rPr>
          <w:rFonts w:ascii="宋体" w:hAnsi="宋体" w:cs="宋体"/>
        </w:rPr>
      </w:pPr>
      <w:r>
        <w:rPr>
          <w:rFonts w:hint="eastAsia" w:ascii="宋体" w:hAnsi="宋体" w:cs="宋体"/>
        </w:rPr>
        <w:t>定义</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rPr>
        <w:t>预应力混凝土铁路桥简支梁定义为铁路上使用的，配置受力的预应力钢筋并被施加预应力，一端为纵向活动支座，另一端为纵向固定支座的两端支撑的混凝土桥梁（见TB10092-2017《铁路桥涵混凝土结构设计规范》）。</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rPr>
        <w:t>（二）范围</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rPr>
        <w:t>在中华人民共和国境内生产本细则规定的预应力混凝土铁路桥简支梁产品的，应当依法取得生产许可证，任何企业未取得生产许可证不得生产本细则规定的预应力混凝土铁路桥简支梁产品。其范围是指在工厂（场）生产的预应力混凝土铁路桥简支梁，并以简支状态使用的桥梁产品。</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rPr>
        <w:t>对于直接在桥墩上现浇的预应力混凝土铁路桥简支梁、在工厂（场）生产半成品并在桥墩上拼装成简支状态的桥梁、在工厂（场）生产的预应力混凝土铁路桥简支梁半成品并在桥墩拼装成连续梁的不在本细则规定范围内。</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Theme="minorEastAsia" w:hAnsiTheme="minorEastAsia" w:eastAsiaTheme="minorEastAsia"/>
          <w:kern w:val="0"/>
        </w:rPr>
      </w:pPr>
      <w:r>
        <w:rPr>
          <w:rFonts w:hint="eastAsia" w:asciiTheme="minorEastAsia" w:hAnsiTheme="minorEastAsia" w:eastAsiaTheme="minorEastAsia"/>
          <w:kern w:val="0"/>
        </w:rPr>
        <w:t>特殊情况下，根据工程建设设计要求，生产企业整个生产周期的制梁总数不足60件时，由具备承担该产品检测资质的检测机构检测合格，并由建设甲方提供书面认可同意后，可以不用申请生产许可证。</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Theme="minorEastAsia" w:hAnsiTheme="minorEastAsia" w:eastAsiaTheme="minorEastAsia"/>
          <w:kern w:val="0"/>
        </w:rPr>
      </w:pPr>
      <w:r>
        <w:rPr>
          <w:rFonts w:hint="eastAsia"/>
        </w:rPr>
        <w:t>按企业标准、地方标准等生产的</w:t>
      </w:r>
      <w:r>
        <w:rPr>
          <w:rFonts w:hint="eastAsia" w:ascii="宋体" w:hAnsi="宋体" w:cs="宋体"/>
        </w:rPr>
        <w:t>预应力混凝土铁路桥简支梁</w:t>
      </w:r>
      <w:r>
        <w:rPr>
          <w:rFonts w:hint="eastAsia"/>
        </w:rPr>
        <w:t>产品，属于本细则列出的相关国家标准和行业标准的范畴或适用范围的，企业应按相应的国家标准或行业标准取证。</w:t>
      </w:r>
    </w:p>
    <w:p>
      <w:pPr>
        <w:pStyle w:val="40"/>
        <w:keepNext w:val="0"/>
        <w:keepLines w:val="0"/>
        <w:pageBreakBefore w:val="0"/>
        <w:widowControl w:val="0"/>
        <w:kinsoku/>
        <w:wordWrap/>
        <w:overflowPunct/>
        <w:topLinePunct w:val="0"/>
        <w:autoSpaceDE/>
        <w:autoSpaceDN/>
        <w:bidi w:val="0"/>
        <w:adjustRightInd/>
        <w:snapToGrid/>
        <w:spacing w:line="348" w:lineRule="auto"/>
        <w:textAlignment w:val="auto"/>
        <w:outlineLvl w:val="9"/>
        <w:rPr>
          <w:rFonts w:ascii="宋体" w:hAnsi="宋体" w:cs="宋体"/>
        </w:rPr>
      </w:pPr>
      <w:r>
        <w:rPr>
          <w:rFonts w:hint="eastAsia" w:ascii="宋体" w:hAnsi="宋体" w:cs="宋体"/>
          <w:color w:val="000000"/>
        </w:rPr>
        <w:t>（三）产品单元</w:t>
      </w:r>
      <w:r>
        <w:rPr>
          <w:rFonts w:hint="eastAsia" w:ascii="宋体" w:hAnsi="宋体" w:cs="宋体"/>
        </w:rPr>
        <w:t>、产品品种划分</w:t>
      </w:r>
    </w:p>
    <w:p>
      <w:pPr>
        <w:pStyle w:val="45"/>
        <w:keepNext w:val="0"/>
        <w:keepLines w:val="0"/>
        <w:pageBreakBefore w:val="0"/>
        <w:widowControl w:val="0"/>
        <w:kinsoku/>
        <w:wordWrap/>
        <w:overflowPunct/>
        <w:topLinePunct w:val="0"/>
        <w:autoSpaceDE/>
        <w:autoSpaceDN/>
        <w:bidi w:val="0"/>
        <w:adjustRightInd/>
        <w:snapToGrid/>
        <w:spacing w:line="348" w:lineRule="auto"/>
        <w:ind w:firstLineChars="0"/>
        <w:textAlignment w:val="auto"/>
        <w:outlineLvl w:val="9"/>
        <w:rPr>
          <w:rFonts w:asciiTheme="minorEastAsia" w:hAnsiTheme="minorEastAsia" w:eastAsiaTheme="minorEastAsia"/>
          <w:kern w:val="0"/>
        </w:rPr>
      </w:pPr>
      <w:r>
        <w:rPr>
          <w:rFonts w:hint="eastAsia" w:ascii="宋体" w:hAnsi="宋体" w:cs="宋体"/>
          <w:color w:val="000000"/>
        </w:rPr>
        <w:t>产品单元</w:t>
      </w:r>
      <w:r>
        <w:rPr>
          <w:rFonts w:hint="eastAsia" w:ascii="宋体" w:hAnsi="宋体" w:cs="宋体"/>
        </w:rPr>
        <w:t>、产品品种划分，见表</w:t>
      </w:r>
      <w:r>
        <w:rPr>
          <w:rFonts w:hint="eastAsia" w:asciiTheme="minorEastAsia" w:hAnsiTheme="minorEastAsia" w:eastAsiaTheme="minorEastAsia"/>
          <w:kern w:val="0"/>
        </w:rPr>
        <w:t>1。</w:t>
      </w:r>
    </w:p>
    <w:p>
      <w:pPr>
        <w:pStyle w:val="36"/>
        <w:spacing w:line="360" w:lineRule="auto"/>
        <w:ind w:firstLine="422"/>
        <w:jc w:val="center"/>
        <w:rPr>
          <w:rFonts w:ascii="宋体" w:hAnsi="宋体"/>
          <w:b/>
          <w:color w:val="000000"/>
          <w:szCs w:val="24"/>
        </w:rPr>
      </w:pPr>
      <w:r>
        <w:rPr>
          <w:rFonts w:hint="eastAsia" w:ascii="宋体" w:hAnsi="宋体"/>
          <w:b/>
          <w:color w:val="000000"/>
          <w:szCs w:val="24"/>
        </w:rPr>
        <w:t>表1 预应力混凝土铁路桥简支梁产品单元、产品品种</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8"/>
        <w:gridCol w:w="1242"/>
        <w:gridCol w:w="2625"/>
        <w:gridCol w:w="633"/>
        <w:gridCol w:w="1844"/>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2" w:hRule="atLeast"/>
          <w:tblHeader/>
          <w:jc w:val="center"/>
        </w:trPr>
        <w:tc>
          <w:tcPr>
            <w:tcW w:w="56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单元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序号</w:t>
            </w:r>
          </w:p>
        </w:tc>
        <w:tc>
          <w:tcPr>
            <w:tcW w:w="1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产品单元</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kern w:val="0"/>
              </w:rPr>
            </w:pPr>
            <w:r>
              <w:rPr>
                <w:rFonts w:hint="eastAsia" w:ascii="宋体" w:hAnsi="宋体"/>
                <w:b/>
                <w:kern w:val="0"/>
              </w:rPr>
              <w:t>单元说明</w:t>
            </w: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kern w:val="0"/>
              </w:rPr>
            </w:pPr>
            <w:r>
              <w:rPr>
                <w:rFonts w:hint="eastAsia" w:ascii="宋体" w:hAnsi="宋体"/>
                <w:b/>
                <w:kern w:val="0"/>
              </w:rPr>
              <w:t>品种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kern w:val="0"/>
              </w:rPr>
            </w:pPr>
            <w:r>
              <w:rPr>
                <w:rFonts w:hint="eastAsia" w:ascii="宋体" w:hAnsi="宋体"/>
                <w:b/>
                <w:kern w:val="0"/>
              </w:rPr>
              <w:t>序号</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kern w:val="0"/>
              </w:rPr>
            </w:pPr>
            <w:r>
              <w:rPr>
                <w:rFonts w:hint="eastAsia" w:ascii="宋体" w:hAnsi="宋体"/>
                <w:b/>
                <w:kern w:val="0"/>
              </w:rPr>
              <w:t>产品品种</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jc w:val="center"/>
        </w:trPr>
        <w:tc>
          <w:tcPr>
            <w:tcW w:w="56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r>
              <w:rPr>
                <w:rFonts w:hint="eastAsia" w:ascii="宋体" w:hAnsi="宋体"/>
                <w:color w:val="000000"/>
                <w:kern w:val="0"/>
              </w:rPr>
              <w:t>1</w:t>
            </w:r>
          </w:p>
        </w:tc>
        <w:tc>
          <w:tcPr>
            <w:tcW w:w="124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r>
              <w:rPr>
                <w:rFonts w:hint="eastAsia" w:ascii="宋体" w:hAnsi="宋体"/>
                <w:color w:val="000000"/>
                <w:kern w:val="0"/>
              </w:rPr>
              <w:t>后张法预应力混凝土铁路桥简支梁产品</w:t>
            </w:r>
          </w:p>
        </w:tc>
        <w:tc>
          <w:tcPr>
            <w:tcW w:w="26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（1）同单元内T型梁不同片数（2片式、4片式、多片式）可以互代。</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（2）同单元内有砟、无砟桥面梁，曲线、直线梁，单箱、双箱及多箱梁，不同设计图纸梁可以互代。</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（3）异型梁是指除箱型和T型之外的所有梁型，企业获取该截面型式的异型梁生产许可证，只允许生产该截面型式的产品，不同截面型式需分别取证。</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（4）箱型、T型、异型梁不能相互替代。</w:t>
            </w: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1</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T型：具体跨度（m）</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覆盖原则：同单元内T型梁，大跨度可覆盖小跨度，企业获取该跨度T梁生产许可证，允许生产本单元内该跨度及以下所有跨度的T型梁。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jc w:val="center"/>
        </w:trPr>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26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2</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箱型：双线、单线、多线</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color w:val="000000"/>
                <w:kern w:val="0"/>
              </w:rPr>
            </w:pPr>
            <w:r>
              <w:rPr>
                <w:rFonts w:hint="eastAsia" w:ascii="宋体" w:hAnsi="宋体"/>
                <w:color w:val="000000"/>
                <w:kern w:val="0"/>
              </w:rPr>
              <w:t>平行原则：</w:t>
            </w:r>
            <w:r>
              <w:rPr>
                <w:rFonts w:hint="eastAsia" w:ascii="宋体" w:hAnsi="宋体"/>
                <w:kern w:val="0"/>
              </w:rPr>
              <w:t>同单元内箱型梁，双线、单线、多线可互代，企业获取任意一种线数的箱梁，允许生产本单元内所有线数的箱梁。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jc w:val="center"/>
        </w:trPr>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2625" w:type="dxa"/>
            <w:vMerge w:val="continue"/>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3</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异型：具体截面型式</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jc w:val="center"/>
        </w:trPr>
        <w:tc>
          <w:tcPr>
            <w:tcW w:w="56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r>
              <w:rPr>
                <w:rFonts w:hint="eastAsia" w:ascii="宋体" w:hAnsi="宋体"/>
                <w:color w:val="000000"/>
                <w:kern w:val="0"/>
              </w:rPr>
              <w:t>2</w:t>
            </w:r>
          </w:p>
        </w:tc>
        <w:tc>
          <w:tcPr>
            <w:tcW w:w="124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r>
              <w:rPr>
                <w:rFonts w:hint="eastAsia" w:ascii="宋体" w:hAnsi="宋体"/>
                <w:color w:val="000000"/>
                <w:kern w:val="0"/>
              </w:rPr>
              <w:t>先张法预应力混凝土铁路桥简支梁产品</w:t>
            </w:r>
          </w:p>
        </w:tc>
        <w:tc>
          <w:tcPr>
            <w:tcW w:w="26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kern w:val="0"/>
              </w:rPr>
            </w:pPr>
            <w:r>
              <w:rPr>
                <w:rFonts w:hint="eastAsia" w:ascii="宋体" w:hAnsi="宋体"/>
                <w:kern w:val="0"/>
              </w:rPr>
              <w:t>（1）同单元内T型梁不同片数（2片式、4片式、多片式）可以互代。</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kern w:val="0"/>
              </w:rPr>
            </w:pPr>
            <w:r>
              <w:rPr>
                <w:rFonts w:hint="eastAsia" w:ascii="宋体" w:hAnsi="宋体"/>
                <w:kern w:val="0"/>
              </w:rPr>
              <w:t>（2）同单元内有砟、无砟桥面梁，曲线、直线梁，单箱、双箱及多箱梁，不同设计图纸梁可以互代。</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kern w:val="0"/>
              </w:rPr>
            </w:pPr>
            <w:r>
              <w:rPr>
                <w:rFonts w:hint="eastAsia" w:ascii="宋体" w:hAnsi="宋体"/>
                <w:kern w:val="0"/>
              </w:rPr>
              <w:t>（3）异型梁是指除箱型和T型之外的所有梁型，企业获取该截面型式的异型梁生产许可证，只允许生产该截面型式的产品，不同截面型式需分别取证。</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kern w:val="0"/>
              </w:rPr>
            </w:pPr>
            <w:r>
              <w:rPr>
                <w:rFonts w:hint="eastAsia" w:ascii="宋体" w:hAnsi="宋体"/>
                <w:kern w:val="0"/>
              </w:rPr>
              <w:t>（4）</w:t>
            </w:r>
            <w:r>
              <w:rPr>
                <w:rFonts w:hint="eastAsia" w:ascii="宋体" w:hAnsi="宋体"/>
                <w:color w:val="000000"/>
                <w:kern w:val="0"/>
              </w:rPr>
              <w:t>箱型、T型、异型梁不能相互替代。</w:t>
            </w: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1</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T型：具体跨度（m）</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color w:val="000000"/>
                <w:kern w:val="0"/>
              </w:rPr>
            </w:pPr>
            <w:r>
              <w:rPr>
                <w:rFonts w:hint="eastAsia" w:ascii="宋体" w:hAnsi="宋体"/>
                <w:kern w:val="0"/>
              </w:rPr>
              <w:t>覆盖原则：同单元内T型梁，大跨度可覆盖小跨度，企业获取该跨度T梁生产许可证，允许生产本单元内该跨度及以下所有跨度的T型梁。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jc w:val="center"/>
        </w:trPr>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2625" w:type="dxa"/>
            <w:vMerge w:val="continue"/>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2</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箱型：双线、单线、多线</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color w:val="000000"/>
                <w:kern w:val="0"/>
              </w:rPr>
            </w:pPr>
            <w:r>
              <w:rPr>
                <w:rFonts w:hint="eastAsia" w:ascii="宋体" w:hAnsi="宋体"/>
                <w:color w:val="000000"/>
                <w:kern w:val="0"/>
              </w:rPr>
              <w:t>平行原则：</w:t>
            </w:r>
            <w:r>
              <w:rPr>
                <w:rFonts w:hint="eastAsia" w:ascii="宋体" w:hAnsi="宋体"/>
                <w:kern w:val="0"/>
              </w:rPr>
              <w:t>同单元内箱型梁，双线、单线、多线可互代，企业获取任意一种线数的箱梁，允许生产本单元内所有线数的箱梁。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0" w:hRule="atLeast"/>
          <w:jc w:val="center"/>
        </w:trPr>
        <w:tc>
          <w:tcPr>
            <w:tcW w:w="5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olor w:val="000000"/>
                <w:kern w:val="0"/>
              </w:rPr>
            </w:pPr>
          </w:p>
        </w:tc>
        <w:tc>
          <w:tcPr>
            <w:tcW w:w="2625" w:type="dxa"/>
            <w:vMerge w:val="continue"/>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p>
        </w:tc>
        <w:tc>
          <w:tcPr>
            <w:tcW w:w="6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kern w:val="0"/>
              </w:rPr>
            </w:pPr>
            <w:r>
              <w:rPr>
                <w:rFonts w:hint="eastAsia" w:ascii="宋体" w:hAnsi="宋体"/>
                <w:kern w:val="0"/>
              </w:rPr>
              <w:t>3</w:t>
            </w:r>
          </w:p>
        </w:tc>
        <w:tc>
          <w:tcPr>
            <w:tcW w:w="18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ascii="宋体" w:hAnsi="宋体"/>
                <w:kern w:val="0"/>
              </w:rPr>
            </w:pPr>
            <w:r>
              <w:rPr>
                <w:rFonts w:hint="eastAsia" w:ascii="宋体" w:hAnsi="宋体"/>
                <w:kern w:val="0"/>
              </w:rPr>
              <w:t>异型：具体截面型式</w:t>
            </w:r>
          </w:p>
        </w:tc>
        <w:tc>
          <w:tcPr>
            <w:tcW w:w="237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color w:val="000000"/>
                <w:kern w:val="0"/>
              </w:rPr>
            </w:pPr>
            <w:r>
              <w:rPr>
                <w:rFonts w:hint="eastAsia" w:ascii="宋体" w:hAnsi="宋体"/>
                <w:color w:val="000000"/>
                <w:kern w:val="0"/>
              </w:rPr>
              <w:t>/</w:t>
            </w:r>
          </w:p>
        </w:tc>
      </w:tr>
    </w:tbl>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36"/>
        <w:spacing w:line="360" w:lineRule="auto"/>
        <w:jc w:val="left"/>
        <w:rPr>
          <w:rFonts w:ascii="宋体" w:hAnsi="宋体"/>
          <w:iCs/>
          <w:kern w:val="0"/>
          <w:szCs w:val="24"/>
        </w:rPr>
      </w:pPr>
    </w:p>
    <w:p>
      <w:pPr>
        <w:pStyle w:val="40"/>
        <w:numPr>
          <w:ilvl w:val="0"/>
          <w:numId w:val="1"/>
        </w:numPr>
        <w:spacing w:line="360" w:lineRule="auto"/>
        <w:ind w:left="0" w:firstLine="422" w:firstLineChars="0"/>
        <w:rPr>
          <w:rFonts w:ascii="宋体" w:hAnsi="宋体"/>
          <w:color w:val="000000"/>
        </w:rPr>
      </w:pPr>
      <w:r>
        <w:rPr>
          <w:rFonts w:hint="eastAsia" w:ascii="宋体" w:hAnsi="宋体" w:cs="宋体"/>
        </w:rPr>
        <w:t>本细则的发证产品应</w:t>
      </w:r>
      <w:r>
        <w:rPr>
          <w:rFonts w:hint="eastAsia" w:ascii="宋体" w:hAnsi="宋体"/>
          <w:color w:val="000000"/>
        </w:rPr>
        <w:t>执行的产品标准和相关标准见表2-1和表2-2。</w:t>
      </w:r>
    </w:p>
    <w:p>
      <w:pPr>
        <w:spacing w:line="400" w:lineRule="exact"/>
        <w:ind w:left="426"/>
        <w:jc w:val="center"/>
        <w:rPr>
          <w:rFonts w:ascii="宋体" w:hAnsi="宋体"/>
          <w:b/>
          <w:color w:val="FF0000"/>
          <w:szCs w:val="21"/>
        </w:rPr>
      </w:pPr>
      <w:r>
        <w:rPr>
          <w:rFonts w:hint="eastAsia" w:ascii="宋体" w:hAnsi="宋体"/>
          <w:b/>
          <w:color w:val="000000"/>
          <w:szCs w:val="24"/>
        </w:rPr>
        <w:t>表2-1</w:t>
      </w:r>
      <w:r>
        <w:rPr>
          <w:rFonts w:hint="eastAsia" w:ascii="宋体" w:hAnsi="宋体"/>
          <w:b/>
          <w:color w:val="000000"/>
          <w:szCs w:val="21"/>
        </w:rPr>
        <w:t>预应力混凝土铁路桥简支梁产品执行标准</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577"/>
        <w:gridCol w:w="1598"/>
        <w:gridCol w:w="2988"/>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8"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序号</w:t>
            </w:r>
          </w:p>
        </w:tc>
        <w:tc>
          <w:tcPr>
            <w:tcW w:w="15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产品单元</w:t>
            </w: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产品标准号</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产品标准名称</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000000"/>
                <w:kern w:val="0"/>
              </w:rPr>
            </w:pPr>
            <w:r>
              <w:rPr>
                <w:rFonts w:hint="eastAsia" w:ascii="宋体" w:hAnsi="宋体"/>
                <w:b/>
                <w:color w:val="000000"/>
                <w:kern w:val="0"/>
              </w:rPr>
              <w:t>对应产品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4"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Cs w:val="21"/>
              </w:rPr>
            </w:pPr>
            <w:r>
              <w:rPr>
                <w:rFonts w:hint="eastAsia" w:ascii="宋体" w:hAnsi="宋体"/>
                <w:szCs w:val="21"/>
              </w:rPr>
              <w:t>1</w:t>
            </w:r>
          </w:p>
        </w:tc>
        <w:tc>
          <w:tcPr>
            <w:tcW w:w="157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FF0000"/>
                <w:szCs w:val="21"/>
              </w:rPr>
            </w:pPr>
            <w:r>
              <w:rPr>
                <w:rFonts w:hint="eastAsia" w:ascii="宋体" w:hAnsi="宋体" w:cs="宋体"/>
                <w:kern w:val="0"/>
                <w:szCs w:val="21"/>
              </w:rPr>
              <w:t>后张法预应力混凝土铁路桥简支梁</w:t>
            </w: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TB/T3043-2005</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预制后张法预应力混凝土铁路桥简支T梁技术条件</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时速200公里及以下后张T梁、单腹板后张异型梁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4"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Cs w:val="21"/>
              </w:rPr>
            </w:pPr>
            <w:r>
              <w:rPr>
                <w:rFonts w:hint="eastAsia" w:ascii="宋体" w:hAnsi="宋体"/>
                <w:szCs w:val="21"/>
              </w:rPr>
              <w:t>2</w:t>
            </w:r>
          </w:p>
        </w:tc>
        <w:tc>
          <w:tcPr>
            <w:tcW w:w="157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FF0000"/>
                <w:szCs w:val="21"/>
              </w:rPr>
            </w:pP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kern w:val="0"/>
              </w:rPr>
              <w:t>TB/T3432-2016</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kern w:val="0"/>
              </w:rPr>
              <w:t>高速铁路预制后张法预应力混凝土简支梁</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后张箱梁、时速200公里以上后张T梁、多（双）腹板后张异型梁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4"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Cs w:val="21"/>
              </w:rPr>
            </w:pPr>
            <w:r>
              <w:rPr>
                <w:rFonts w:hint="eastAsia" w:ascii="宋体" w:hAnsi="宋体"/>
                <w:szCs w:val="21"/>
              </w:rPr>
              <w:t>3</w:t>
            </w:r>
          </w:p>
        </w:tc>
        <w:tc>
          <w:tcPr>
            <w:tcW w:w="157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color w:val="FF0000"/>
                <w:szCs w:val="21"/>
              </w:rPr>
            </w:pPr>
            <w:r>
              <w:rPr>
                <w:rFonts w:hint="eastAsia" w:ascii="宋体" w:hAnsi="宋体" w:cs="宋体"/>
                <w:kern w:val="0"/>
                <w:szCs w:val="21"/>
              </w:rPr>
              <w:t>先张法预应力混凝土铁路桥简支梁</w:t>
            </w: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TB/T2484-2005</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预制先张法预应力混凝土铁路桥简支T梁技术条件</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时速200公里及以下先张T梁、单腹板先张异型梁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4" w:hRule="atLeast"/>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szCs w:val="21"/>
              </w:rPr>
            </w:pPr>
            <w:r>
              <w:rPr>
                <w:rFonts w:hint="eastAsia" w:ascii="宋体" w:hAnsi="宋体"/>
                <w:szCs w:val="21"/>
              </w:rPr>
              <w:t>4</w:t>
            </w:r>
          </w:p>
        </w:tc>
        <w:tc>
          <w:tcPr>
            <w:tcW w:w="157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p>
        </w:tc>
        <w:tc>
          <w:tcPr>
            <w:tcW w:w="15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kern w:val="0"/>
              </w:rPr>
              <w:t>TB/T3433-2016</w:t>
            </w:r>
          </w:p>
        </w:tc>
        <w:tc>
          <w:tcPr>
            <w:tcW w:w="298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kern w:val="0"/>
              </w:rPr>
              <w:t>高速铁路预制先张法预应力混凝土简支梁</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ascii="宋体" w:hAnsi="宋体"/>
                <w:b/>
                <w:color w:val="FF0000"/>
                <w:szCs w:val="21"/>
              </w:rPr>
            </w:pPr>
            <w:r>
              <w:rPr>
                <w:rFonts w:hint="eastAsia" w:ascii="宋体" w:hAnsi="宋体" w:cs="宋体"/>
                <w:kern w:val="0"/>
                <w:szCs w:val="21"/>
              </w:rPr>
              <w:t>先张箱梁、时速200公里以上先张T梁、多腹板先张异型梁</w:t>
            </w:r>
          </w:p>
        </w:tc>
      </w:tr>
    </w:tbl>
    <w:p>
      <w:pPr>
        <w:keepNext w:val="0"/>
        <w:keepLines w:val="0"/>
        <w:pageBreakBefore w:val="0"/>
        <w:widowControl w:val="0"/>
        <w:kinsoku/>
        <w:wordWrap/>
        <w:overflowPunct/>
        <w:topLinePunct w:val="0"/>
        <w:autoSpaceDE/>
        <w:autoSpaceDN/>
        <w:bidi w:val="0"/>
        <w:adjustRightInd/>
        <w:snapToGrid/>
        <w:spacing w:line="200" w:lineRule="exact"/>
        <w:ind w:left="425"/>
        <w:jc w:val="center"/>
        <w:textAlignment w:val="auto"/>
        <w:outlineLvl w:val="9"/>
        <w:rPr>
          <w:rFonts w:ascii="宋体" w:hAnsi="宋体"/>
          <w:b/>
          <w:color w:val="000000"/>
          <w:szCs w:val="24"/>
        </w:rPr>
      </w:pPr>
    </w:p>
    <w:p>
      <w:pPr>
        <w:spacing w:line="400" w:lineRule="exact"/>
        <w:ind w:left="426"/>
        <w:jc w:val="center"/>
        <w:rPr>
          <w:rFonts w:ascii="宋体" w:hAnsi="宋体"/>
          <w:b/>
          <w:color w:val="000000"/>
          <w:szCs w:val="21"/>
        </w:rPr>
      </w:pPr>
      <w:r>
        <w:rPr>
          <w:rFonts w:hint="eastAsia" w:ascii="宋体" w:hAnsi="宋体"/>
          <w:b/>
          <w:color w:val="000000"/>
          <w:szCs w:val="24"/>
        </w:rPr>
        <w:t>表2-2</w:t>
      </w:r>
      <w:r>
        <w:rPr>
          <w:rFonts w:hint="eastAsia" w:ascii="宋体" w:hAnsi="宋体"/>
          <w:b/>
          <w:color w:val="000000"/>
          <w:szCs w:val="21"/>
        </w:rPr>
        <w:t>预应力混凝土铁路桥简支梁产品相关标准</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2"/>
        <w:gridCol w:w="2116"/>
        <w:gridCol w:w="54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blHeader/>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b/>
                <w:color w:val="000000"/>
                <w:kern w:val="0"/>
              </w:rPr>
            </w:pPr>
            <w:r>
              <w:rPr>
                <w:rFonts w:hint="eastAsia" w:ascii="宋体" w:hAnsi="宋体"/>
                <w:b/>
                <w:color w:val="000000"/>
                <w:kern w:val="0"/>
              </w:rPr>
              <w:t>序号</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b/>
                <w:kern w:val="0"/>
              </w:rPr>
            </w:pPr>
            <w:r>
              <w:rPr>
                <w:rFonts w:hint="eastAsia" w:ascii="宋体" w:hAnsi="宋体"/>
                <w:b/>
                <w:kern w:val="0"/>
              </w:rPr>
              <w:t>相关标准号</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b/>
                <w:kern w:val="0"/>
              </w:rPr>
            </w:pPr>
            <w:r>
              <w:rPr>
                <w:rFonts w:hint="eastAsia" w:ascii="宋体" w:hAnsi="宋体"/>
                <w:b/>
                <w:kern w:val="0"/>
              </w:rPr>
              <w:t>相关标准名称</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b/>
                <w:color w:val="000000"/>
                <w:kern w:val="0"/>
              </w:rPr>
            </w:pPr>
            <w:r>
              <w:rPr>
                <w:rFonts w:hint="eastAsia" w:ascii="宋体" w:hAnsi="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GB175-2007</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通用硅酸盐水泥</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2</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w:t>
            </w:r>
            <w:r>
              <w:rPr>
                <w:rFonts w:hint="eastAsia" w:ascii="宋体" w:hAnsi="宋体" w:cs="宋体"/>
                <w:kern w:val="0"/>
                <w:szCs w:val="21"/>
              </w:rPr>
              <w:t>/T</w:t>
            </w:r>
            <w:r>
              <w:rPr>
                <w:rFonts w:ascii="宋体" w:hAnsi="宋体" w:cs="宋体"/>
                <w:kern w:val="0"/>
                <w:szCs w:val="21"/>
              </w:rPr>
              <w:t>1499.1-20</w:t>
            </w:r>
            <w:r>
              <w:rPr>
                <w:rFonts w:hint="eastAsia" w:ascii="宋体" w:hAnsi="宋体" w:cs="宋体"/>
                <w:kern w:val="0"/>
                <w:szCs w:val="21"/>
              </w:rPr>
              <w:t>17</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钢筋混凝土用钢</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部分</w:t>
            </w:r>
            <w:r>
              <w:rPr>
                <w:rFonts w:ascii="宋体" w:hAnsi="宋体" w:cs="宋体"/>
                <w:kern w:val="0"/>
                <w:szCs w:val="21"/>
              </w:rPr>
              <w:t>:</w:t>
            </w:r>
            <w:r>
              <w:rPr>
                <w:rFonts w:hint="eastAsia" w:ascii="宋体" w:hAnsi="宋体" w:cs="宋体"/>
                <w:kern w:val="0"/>
                <w:szCs w:val="21"/>
              </w:rPr>
              <w:t>热轧光圆钢筋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3</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w:t>
            </w:r>
            <w:r>
              <w:rPr>
                <w:rFonts w:hint="eastAsia" w:ascii="宋体" w:hAnsi="宋体" w:cs="宋体"/>
                <w:kern w:val="0"/>
                <w:szCs w:val="21"/>
              </w:rPr>
              <w:t>/T</w:t>
            </w:r>
            <w:r>
              <w:rPr>
                <w:rFonts w:ascii="宋体" w:hAnsi="宋体" w:cs="宋体"/>
                <w:kern w:val="0"/>
                <w:szCs w:val="21"/>
              </w:rPr>
              <w:t>1499.2-20</w:t>
            </w:r>
            <w:r>
              <w:rPr>
                <w:rFonts w:hint="eastAsia" w:ascii="宋体" w:hAnsi="宋体" w:cs="宋体"/>
                <w:kern w:val="0"/>
                <w:szCs w:val="21"/>
              </w:rPr>
              <w:t>18</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钢筋混凝土用钢</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2</w:t>
            </w:r>
            <w:r>
              <w:rPr>
                <w:rFonts w:hint="eastAsia" w:ascii="宋体" w:hAnsi="宋体" w:cs="宋体"/>
                <w:kern w:val="0"/>
                <w:szCs w:val="21"/>
              </w:rPr>
              <w:t>部分</w:t>
            </w:r>
            <w:r>
              <w:rPr>
                <w:rFonts w:ascii="宋体" w:hAnsi="宋体" w:cs="宋体"/>
                <w:kern w:val="0"/>
                <w:szCs w:val="21"/>
              </w:rPr>
              <w:t>:</w:t>
            </w:r>
            <w:r>
              <w:rPr>
                <w:rFonts w:hint="eastAsia" w:ascii="宋体" w:hAnsi="宋体" w:cs="宋体"/>
                <w:kern w:val="0"/>
                <w:szCs w:val="21"/>
              </w:rPr>
              <w:t>热轧带肋钢筋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4</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GB/T5224-2014</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预应力混凝土用钢绞线</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5</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GB/T5836.1-2006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建筑排水用硬聚氯乙烯（</w:t>
            </w:r>
            <w:r>
              <w:rPr>
                <w:rFonts w:ascii="宋体" w:hAnsi="宋体" w:cs="宋体"/>
                <w:kern w:val="0"/>
                <w:szCs w:val="21"/>
              </w:rPr>
              <w:t>PVC-U</w:t>
            </w:r>
            <w:r>
              <w:rPr>
                <w:rFonts w:hint="eastAsia" w:ascii="宋体" w:hAnsi="宋体" w:cs="宋体"/>
                <w:kern w:val="0"/>
                <w:szCs w:val="21"/>
              </w:rPr>
              <w:t>）管材</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6</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GB/T5836.2-2006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建筑排水用硬聚氯乙烯（</w:t>
            </w:r>
            <w:r>
              <w:rPr>
                <w:rFonts w:ascii="宋体" w:hAnsi="宋体" w:cs="宋体"/>
                <w:kern w:val="0"/>
                <w:szCs w:val="21"/>
              </w:rPr>
              <w:t>PVC-U</w:t>
            </w:r>
            <w:r>
              <w:rPr>
                <w:rFonts w:hint="eastAsia" w:ascii="宋体" w:hAnsi="宋体" w:cs="宋体"/>
                <w:kern w:val="0"/>
                <w:szCs w:val="21"/>
              </w:rPr>
              <w:t>）管件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7</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GB/T10002.1-2006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给水用硬聚氯乙烯（</w:t>
            </w:r>
            <w:r>
              <w:rPr>
                <w:rFonts w:ascii="宋体" w:hAnsi="宋体" w:cs="宋体"/>
                <w:kern w:val="0"/>
                <w:szCs w:val="21"/>
              </w:rPr>
              <w:t>PVC-U</w:t>
            </w:r>
            <w:r>
              <w:rPr>
                <w:rFonts w:hint="eastAsia" w:ascii="宋体" w:hAnsi="宋体" w:cs="宋体"/>
                <w:kern w:val="0"/>
                <w:szCs w:val="21"/>
              </w:rPr>
              <w:t>）管材</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8</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GB/T14684-2011</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建设用砂</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9</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GB/T14685-2011</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建设用卵石、碎石</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0</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GB/T20221-2006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无压埋地排污、排水用硬聚氯乙烯（</w:t>
            </w:r>
            <w:r>
              <w:rPr>
                <w:rFonts w:ascii="宋体" w:hAnsi="宋体" w:cs="宋体"/>
                <w:kern w:val="0"/>
                <w:szCs w:val="21"/>
              </w:rPr>
              <w:t>PVC-U</w:t>
            </w:r>
            <w:r>
              <w:rPr>
                <w:rFonts w:hint="eastAsia" w:ascii="宋体" w:hAnsi="宋体" w:cs="宋体"/>
                <w:kern w:val="0"/>
                <w:szCs w:val="21"/>
              </w:rPr>
              <w:t>）管材</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1</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w:t>
            </w:r>
            <w:r>
              <w:rPr>
                <w:rFonts w:hint="eastAsia" w:ascii="宋体" w:hAnsi="宋体" w:cs="宋体"/>
                <w:kern w:val="0"/>
                <w:szCs w:val="21"/>
              </w:rPr>
              <w:t>/T</w:t>
            </w:r>
            <w:r>
              <w:rPr>
                <w:rFonts w:ascii="宋体" w:hAnsi="宋体" w:cs="宋体"/>
                <w:kern w:val="0"/>
                <w:szCs w:val="21"/>
              </w:rPr>
              <w:t>23439-20</w:t>
            </w:r>
            <w:r>
              <w:rPr>
                <w:rFonts w:hint="eastAsia" w:ascii="宋体" w:hAnsi="宋体" w:cs="宋体"/>
                <w:kern w:val="0"/>
                <w:szCs w:val="21"/>
              </w:rPr>
              <w:t>17</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混凝土膨胀剂</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2</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GB/T50080-20</w:t>
            </w:r>
            <w:r>
              <w:rPr>
                <w:rFonts w:hint="eastAsia" w:ascii="宋体" w:hAnsi="宋体" w:cs="宋体"/>
                <w:kern w:val="0"/>
                <w:szCs w:val="21"/>
              </w:rPr>
              <w:t>16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普通混凝土拌合物性能试验方法标准 </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3</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GB/T50081-2002</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普通混凝土力学性能试验方法标准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4</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GB/T50082-2009</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Theme="minorEastAsia" w:hAnsiTheme="minorEastAsia"/>
                <w:bCs/>
                <w:szCs w:val="21"/>
              </w:rPr>
              <w:t>普通混凝土长期性能和耐久性能试验方法标准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5</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GB50119-2013</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混凝土外加剂应用技术规范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6</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TB/T2092-2003</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预应力混凝土铁路桥简支梁静载弯曲试验方法及评定标准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1</w:t>
            </w:r>
            <w:r>
              <w:rPr>
                <w:rFonts w:hint="eastAsia" w:ascii="宋体" w:hAnsi="宋体"/>
                <w:color w:val="000000"/>
                <w:kern w:val="0"/>
              </w:rPr>
              <w:t>7</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TB/T2965-2011</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铁路混凝土桥面防水层技术条件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18</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TB/T3193-20</w:t>
            </w:r>
            <w:r>
              <w:rPr>
                <w:rFonts w:hint="eastAsia" w:ascii="宋体" w:hAnsi="宋体" w:cs="宋体"/>
                <w:kern w:val="0"/>
                <w:szCs w:val="21"/>
              </w:rPr>
              <w:t>16</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铁路工程预应力筋夹片式锚具、夹具和连接器技术条件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19</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TB/T3274-2011</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铁路混凝土梁配件多元合金共渗防腐技术条件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0</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TB/T3275-2011</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铁路混凝土</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1</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TB10002－2017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铁路桥涵设计规范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2</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TB10092－2017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铁路桥涵混凝土结构设计规范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3</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TB10005-2010</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铁路混凝土结构耐久性设计规范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4</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TB10415-2003</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铁路桥涵工程施工质量验收标准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5</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TB10424-2010</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铁路混凝土工程施工质量验收标准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6</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TB10425-94</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铁路混凝土强度检验评定标准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2</w:t>
            </w:r>
            <w:r>
              <w:rPr>
                <w:rFonts w:hint="eastAsia" w:ascii="宋体" w:hAnsi="宋体"/>
                <w:color w:val="000000"/>
                <w:kern w:val="0"/>
              </w:rPr>
              <w:t>7</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TB10621-2014</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高速铁路设计规范</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高速铁路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28</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ascii="宋体" w:hAnsi="宋体" w:cs="宋体"/>
                <w:kern w:val="0"/>
                <w:szCs w:val="21"/>
              </w:rPr>
              <w:t>TB10752-2010</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b/>
                <w:kern w:val="0"/>
              </w:rPr>
            </w:pPr>
            <w:r>
              <w:rPr>
                <w:rFonts w:hint="eastAsia" w:ascii="宋体" w:hAnsi="宋体" w:cs="宋体"/>
                <w:kern w:val="0"/>
                <w:szCs w:val="21"/>
              </w:rPr>
              <w:t>高速铁路桥涵工程施工质量验收标准</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高速铁路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29</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Q/CR586-2017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铁路预应力混凝土桥梁自动张拉系统</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color w:val="000000"/>
                <w:kern w:val="0"/>
              </w:rPr>
              <w:t>采用自动张拉时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0</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Q/CR9207-2017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铁路混凝土工程施工技术规程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color w:val="000000"/>
                <w:kern w:val="0"/>
              </w:rPr>
              <w:t>31</w:t>
            </w:r>
          </w:p>
        </w:tc>
        <w:tc>
          <w:tcPr>
            <w:tcW w:w="2116"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Q/CR9652-2017</w:t>
            </w:r>
          </w:p>
        </w:tc>
        <w:tc>
          <w:tcPr>
            <w:tcW w:w="5434"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outlineLvl w:val="9"/>
              <w:rPr>
                <w:rFonts w:ascii="宋体" w:hAnsi="宋体" w:cs="宋体"/>
                <w:kern w:val="0"/>
                <w:szCs w:val="21"/>
              </w:rPr>
            </w:pPr>
            <w:r>
              <w:rPr>
                <w:rFonts w:hint="eastAsia" w:ascii="宋体" w:hAnsi="宋体" w:cs="宋体"/>
                <w:kern w:val="0"/>
                <w:szCs w:val="21"/>
              </w:rPr>
              <w:t>客货共线铁路桥涵工程施工技术规程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2</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TGX001</w:t>
            </w:r>
            <w:r>
              <w:rPr>
                <w:rFonts w:hint="eastAsia" w:ascii="宋体" w:hAnsi="宋体" w:cs="宋体"/>
                <w:kern w:val="0"/>
                <w:szCs w:val="21"/>
              </w:rPr>
              <w:t>～</w:t>
            </w:r>
            <w:r>
              <w:rPr>
                <w:rFonts w:ascii="宋体" w:hAnsi="宋体" w:cs="宋体"/>
                <w:kern w:val="0"/>
                <w:szCs w:val="21"/>
              </w:rPr>
              <w:t>101-2012</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铁路工程试验仪器检验校验方法</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3</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JG/T163-2013</w:t>
            </w:r>
            <w:r>
              <w:rPr>
                <w:rFonts w:ascii="宋体" w:cs="宋体"/>
                <w:kern w:val="0"/>
                <w:szCs w:val="21"/>
              </w:rPr>
              <w:t> </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钢筋机械连接用套筒</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4</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JGJ18-2012</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钢筋焊接及验收规程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5</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JGJ55-2011</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普通混凝土配合比设计规程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6</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JGJ107-201</w:t>
            </w:r>
            <w:r>
              <w:rPr>
                <w:rFonts w:hint="eastAsia" w:ascii="宋体" w:hAnsi="宋体" w:cs="宋体"/>
                <w:kern w:val="0"/>
                <w:szCs w:val="21"/>
              </w:rPr>
              <w:t>6</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钢筋机械连接技术规程</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3</w:t>
            </w:r>
            <w:r>
              <w:rPr>
                <w:rFonts w:hint="eastAsia" w:ascii="宋体" w:hAnsi="宋体"/>
                <w:color w:val="000000"/>
                <w:kern w:val="0"/>
              </w:rPr>
              <w:t>7</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JJG52-2013</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Theme="minorEastAsia" w:hAnsiTheme="minorEastAsia"/>
                <w:bCs/>
                <w:szCs w:val="21"/>
              </w:rPr>
              <w:t>弹性元件式一般压力表、压力真空表和真空表</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60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hint="eastAsia" w:ascii="宋体" w:hAnsi="宋体"/>
                <w:color w:val="000000"/>
                <w:kern w:val="0"/>
              </w:rPr>
              <w:t>38</w:t>
            </w:r>
          </w:p>
        </w:tc>
        <w:tc>
          <w:tcPr>
            <w:tcW w:w="211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ascii="宋体" w:hAnsi="宋体" w:cs="宋体"/>
                <w:kern w:val="0"/>
                <w:szCs w:val="21"/>
              </w:rPr>
              <w:t>JJG621-2012</w:t>
            </w:r>
          </w:p>
        </w:tc>
        <w:tc>
          <w:tcPr>
            <w:tcW w:w="5434"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ascii="宋体" w:cs="宋体"/>
                <w:kern w:val="0"/>
                <w:szCs w:val="21"/>
              </w:rPr>
            </w:pPr>
            <w:r>
              <w:rPr>
                <w:rFonts w:hint="eastAsia" w:ascii="宋体" w:hAnsi="宋体" w:cs="宋体"/>
                <w:kern w:val="0"/>
                <w:szCs w:val="21"/>
              </w:rPr>
              <w:t>液压千斤顶</w:t>
            </w:r>
          </w:p>
        </w:tc>
        <w:tc>
          <w:tcPr>
            <w:tcW w:w="1134"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outlineLvl w:val="9"/>
              <w:rPr>
                <w:rFonts w:ascii="宋体"/>
                <w:color w:val="000000"/>
                <w:kern w:val="0"/>
              </w:rPr>
            </w:pPr>
            <w:r>
              <w:rPr>
                <w:rFonts w:ascii="宋体" w:hAnsi="宋体"/>
                <w:color w:val="000000"/>
                <w:kern w:val="0"/>
              </w:rPr>
              <w:t>/</w:t>
            </w:r>
          </w:p>
        </w:tc>
      </w:tr>
    </w:tbl>
    <w:p>
      <w:pPr>
        <w:pStyle w:val="36"/>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auto"/>
        <w:outlineLvl w:val="9"/>
        <w:rPr>
          <w:rFonts w:ascii="宋体" w:hAnsi="宋体" w:cs="宋体"/>
          <w:iCs/>
          <w:color w:val="000000"/>
          <w:kern w:val="0"/>
          <w:szCs w:val="21"/>
        </w:rPr>
      </w:pPr>
      <w:r>
        <w:rPr>
          <w:rFonts w:hint="eastAsia" w:ascii="宋体" w:hAnsi="宋体" w:cs="宋体"/>
          <w:iCs/>
          <w:color w:val="000000"/>
          <w:kern w:val="0"/>
          <w:szCs w:val="21"/>
        </w:rPr>
        <w:t>注：标准一经修订，企业应当自标准实施之日起按新标准组织生产，生产许可证企业实地核查应当按照新标准要求进行。</w:t>
      </w:r>
    </w:p>
    <w:p>
      <w:pPr>
        <w:pStyle w:val="4"/>
        <w:keepNext/>
        <w:keepLines/>
        <w:pageBreakBefore w:val="0"/>
        <w:widowControl w:val="0"/>
        <w:kinsoku/>
        <w:wordWrap/>
        <w:overflowPunct/>
        <w:topLinePunct w:val="0"/>
        <w:autoSpaceDE/>
        <w:autoSpaceDN/>
        <w:bidi w:val="0"/>
        <w:adjustRightInd/>
        <w:snapToGrid/>
        <w:spacing w:before="157" w:beforeLines="50" w:beforeAutospacing="0" w:after="100" w:afterAutospacing="1"/>
        <w:jc w:val="center"/>
        <w:textAlignment w:val="auto"/>
        <w:outlineLvl w:val="2"/>
        <w:rPr>
          <w:rFonts w:hint="eastAsia"/>
          <w:sz w:val="28"/>
          <w:szCs w:val="28"/>
        </w:rPr>
      </w:pPr>
      <w:bookmarkStart w:id="2" w:name="_Toc524357724"/>
      <w:r>
        <w:rPr>
          <w:rFonts w:hint="eastAsia"/>
          <w:sz w:val="28"/>
          <w:szCs w:val="28"/>
        </w:rPr>
        <w:t>第三章  企业申请生产许可证的基本条件和资料</w:t>
      </w:r>
      <w:bookmarkEnd w:id="2"/>
    </w:p>
    <w:p>
      <w:pPr>
        <w:pStyle w:val="40"/>
        <w:numPr>
          <w:ilvl w:val="0"/>
          <w:numId w:val="1"/>
        </w:numPr>
        <w:spacing w:line="360" w:lineRule="auto"/>
        <w:ind w:left="0" w:firstLine="422" w:firstLineChars="0"/>
        <w:rPr>
          <w:rFonts w:cs="宋体" w:asciiTheme="minorEastAsia" w:hAnsiTheme="minorEastAsia" w:eastAsiaTheme="minorEastAsia"/>
          <w:color w:val="000000"/>
        </w:rPr>
      </w:pPr>
      <w:r>
        <w:rPr>
          <w:rFonts w:hint="eastAsia" w:asciiTheme="minorEastAsia" w:hAnsiTheme="minorEastAsia" w:eastAsiaTheme="minorEastAsia"/>
        </w:rPr>
        <w:t>凡生产</w:t>
      </w:r>
      <w:r>
        <w:rPr>
          <w:rFonts w:hint="eastAsia" w:cs="宋体" w:asciiTheme="minorEastAsia" w:hAnsiTheme="minorEastAsia" w:eastAsiaTheme="minorEastAsia"/>
        </w:rPr>
        <w:t>预应力混凝土铁路桥简支梁</w:t>
      </w:r>
      <w:r>
        <w:rPr>
          <w:rFonts w:hint="eastAsia" w:asciiTheme="minorEastAsia" w:hAnsiTheme="minorEastAsia" w:eastAsiaTheme="minorEastAsia"/>
        </w:rPr>
        <w:t>产品的企业应具备本条款规定的基本生产条件，内容包括：生产设施和检验设施、生产设备和工艺工装、检验设备、重要原材料见表3-1至表3-4。</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ascii="宋体" w:hAnsi="宋体"/>
          <w:b/>
          <w:color w:val="000000"/>
        </w:rPr>
      </w:pPr>
      <w:r>
        <w:rPr>
          <w:rFonts w:hint="eastAsia" w:ascii="宋体" w:hAnsi="宋体"/>
          <w:b/>
          <w:color w:val="000000"/>
          <w:szCs w:val="21"/>
        </w:rPr>
        <w:t xml:space="preserve">表3-1   </w:t>
      </w:r>
      <w:r>
        <w:rPr>
          <w:rFonts w:hint="eastAsia" w:ascii="宋体" w:hAnsi="宋体"/>
          <w:b/>
          <w:color w:val="000000"/>
        </w:rPr>
        <w:t>企业生产</w:t>
      </w:r>
      <w:r>
        <w:rPr>
          <w:rFonts w:hint="eastAsia" w:ascii="宋体" w:hAnsi="宋体"/>
          <w:b/>
        </w:rPr>
        <w:t>预应力混凝土铁路桥简支梁产品应具备的生产设</w:t>
      </w:r>
      <w:r>
        <w:rPr>
          <w:rFonts w:hint="eastAsia" w:ascii="宋体" w:hAnsi="宋体"/>
          <w:b/>
          <w:color w:val="000000"/>
        </w:rPr>
        <w:t>施和检验设施</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93"/>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706" w:type="dxa"/>
            <w:vAlign w:val="center"/>
          </w:tcPr>
          <w:p>
            <w:pPr>
              <w:adjustRightInd w:val="0"/>
              <w:jc w:val="center"/>
              <w:textAlignment w:val="baseline"/>
              <w:rPr>
                <w:rFonts w:ascii="宋体" w:hAnsi="Courier New"/>
                <w:b/>
                <w:color w:val="000000"/>
              </w:rPr>
            </w:pPr>
            <w:r>
              <w:rPr>
                <w:rFonts w:hint="eastAsia" w:ascii="宋体" w:hAnsi="Courier New"/>
                <w:b/>
                <w:color w:val="000000"/>
              </w:rPr>
              <w:t>序号</w:t>
            </w:r>
          </w:p>
        </w:tc>
        <w:tc>
          <w:tcPr>
            <w:tcW w:w="3193" w:type="dxa"/>
            <w:vAlign w:val="center"/>
          </w:tcPr>
          <w:p>
            <w:pPr>
              <w:adjustRightInd w:val="0"/>
              <w:jc w:val="center"/>
              <w:textAlignment w:val="baseline"/>
              <w:rPr>
                <w:rFonts w:ascii="宋体" w:hAnsi="Courier New"/>
                <w:b/>
                <w:color w:val="000000"/>
              </w:rPr>
            </w:pPr>
            <w:r>
              <w:rPr>
                <w:rFonts w:hint="eastAsia" w:ascii="宋体" w:hAnsi="Courier New"/>
                <w:b/>
                <w:color w:val="000000"/>
              </w:rPr>
              <w:t>生产设施名称</w:t>
            </w:r>
          </w:p>
        </w:tc>
        <w:tc>
          <w:tcPr>
            <w:tcW w:w="5387" w:type="dxa"/>
            <w:vAlign w:val="center"/>
          </w:tcPr>
          <w:p>
            <w:pPr>
              <w:adjustRightInd w:val="0"/>
              <w:jc w:val="center"/>
              <w:textAlignment w:val="baseline"/>
              <w:rPr>
                <w:rFonts w:ascii="宋体" w:hAnsi="Courier New"/>
                <w:b/>
                <w:color w:val="000000"/>
              </w:rPr>
            </w:pPr>
            <w:r>
              <w:rPr>
                <w:rFonts w:hint="eastAsia" w:ascii="宋体" w:hAnsi="Courier New"/>
                <w:b/>
                <w:color w:val="000000"/>
              </w:rPr>
              <w:t>设施要求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1</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试验室</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一般不小于8间×20m</w:t>
            </w:r>
            <w:r>
              <w:rPr>
                <w:rFonts w:hint="eastAsia" w:ascii="宋体" w:hAnsi="Courier New"/>
                <w:color w:val="000000"/>
                <w:vertAlign w:val="superscript"/>
              </w:rPr>
              <w:t>2</w:t>
            </w:r>
            <w:r>
              <w:rPr>
                <w:rFonts w:hint="eastAsia" w:ascii="宋体" w:hAnsi="Courier New"/>
                <w:color w:val="000000"/>
              </w:rPr>
              <w:t>/间（办公室面积不计算在内）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2</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钢筋加工车间</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封闭或者半封闭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3</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骨料仓</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封闭或者半封闭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4</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原材料库房</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封闭或者半封闭，并有防雨防潮措施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06" w:type="dxa"/>
            <w:vAlign w:val="center"/>
          </w:tcPr>
          <w:p>
            <w:pPr>
              <w:adjustRightInd w:val="0"/>
              <w:jc w:val="center"/>
              <w:textAlignment w:val="baseline"/>
              <w:rPr>
                <w:rFonts w:ascii="宋体" w:hAnsi="Courier New"/>
                <w:color w:val="000000"/>
              </w:rPr>
            </w:pPr>
            <w:r>
              <w:rPr>
                <w:rFonts w:hint="eastAsia" w:ascii="宋体" w:hAnsi="Courier New"/>
                <w:color w:val="000000"/>
              </w:rPr>
              <w:t>5</w:t>
            </w:r>
          </w:p>
        </w:tc>
        <w:tc>
          <w:tcPr>
            <w:tcW w:w="3193" w:type="dxa"/>
            <w:vAlign w:val="center"/>
          </w:tcPr>
          <w:p>
            <w:pPr>
              <w:adjustRightInd w:val="0"/>
              <w:jc w:val="center"/>
              <w:textAlignment w:val="baseline"/>
              <w:rPr>
                <w:rFonts w:ascii="宋体" w:hAnsi="Courier New"/>
                <w:color w:val="000000"/>
              </w:rPr>
            </w:pPr>
            <w:r>
              <w:rPr>
                <w:rFonts w:hint="eastAsia" w:ascii="宋体" w:hAnsi="Courier New"/>
                <w:color w:val="000000"/>
              </w:rPr>
              <w:t>蓄水池</w:t>
            </w:r>
          </w:p>
        </w:tc>
        <w:tc>
          <w:tcPr>
            <w:tcW w:w="5387" w:type="dxa"/>
            <w:vAlign w:val="center"/>
          </w:tcPr>
          <w:p>
            <w:pPr>
              <w:adjustRightInd w:val="0"/>
              <w:jc w:val="center"/>
              <w:textAlignment w:val="baseline"/>
              <w:rPr>
                <w:rFonts w:ascii="宋体" w:hAnsi="Courier New"/>
                <w:color w:val="000000"/>
              </w:rPr>
            </w:pPr>
            <w:r>
              <w:rPr>
                <w:rFonts w:hint="eastAsia" w:ascii="宋体" w:hAnsi="Courier New"/>
                <w:color w:val="000000"/>
              </w:rPr>
              <w:t>储量满足生产需要并有防尘和防护措施</w:t>
            </w:r>
          </w:p>
        </w:tc>
      </w:tr>
    </w:tbl>
    <w:p>
      <w:pPr>
        <w:rPr>
          <w:color w:val="FF0000"/>
        </w:rPr>
      </w:pPr>
    </w:p>
    <w:p>
      <w:pPr>
        <w:spacing w:line="360" w:lineRule="auto"/>
        <w:ind w:right="-2"/>
        <w:jc w:val="center"/>
        <w:rPr>
          <w:rFonts w:hint="eastAsia" w:ascii="宋体" w:hAnsi="宋体"/>
          <w:b/>
          <w:color w:val="000000"/>
          <w:szCs w:val="21"/>
        </w:rPr>
      </w:pPr>
      <w:r>
        <w:rPr>
          <w:rFonts w:hint="eastAsia" w:ascii="宋体" w:hAnsi="宋体"/>
          <w:b/>
          <w:color w:val="000000"/>
          <w:szCs w:val="21"/>
        </w:rPr>
        <w:br w:type="page"/>
      </w:r>
    </w:p>
    <w:p>
      <w:pPr>
        <w:spacing w:line="360" w:lineRule="auto"/>
        <w:ind w:right="-2"/>
        <w:jc w:val="center"/>
        <w:rPr>
          <w:rFonts w:ascii="宋体" w:hAnsi="宋体"/>
          <w:color w:val="000000"/>
          <w:szCs w:val="21"/>
        </w:rPr>
      </w:pPr>
      <w:r>
        <w:rPr>
          <w:rFonts w:hint="eastAsia" w:ascii="宋体" w:hAnsi="宋体"/>
          <w:b/>
          <w:color w:val="000000"/>
          <w:szCs w:val="21"/>
        </w:rPr>
        <w:t>表3-2   企业生产</w:t>
      </w:r>
      <w:r>
        <w:rPr>
          <w:rFonts w:hint="eastAsia" w:ascii="宋体" w:hAnsi="宋体"/>
          <w:b/>
        </w:rPr>
        <w:t>预应力混凝土铁路桥简支梁</w:t>
      </w:r>
      <w:r>
        <w:rPr>
          <w:rFonts w:hint="eastAsia" w:ascii="宋体" w:hAnsi="宋体"/>
          <w:b/>
          <w:szCs w:val="21"/>
        </w:rPr>
        <w:t>产品</w:t>
      </w:r>
      <w:r>
        <w:rPr>
          <w:rFonts w:hint="eastAsia" w:ascii="宋体" w:hAnsi="宋体"/>
          <w:b/>
        </w:rPr>
        <w:t>应具备的</w:t>
      </w:r>
      <w:r>
        <w:rPr>
          <w:rFonts w:hint="eastAsia" w:ascii="宋体" w:hAnsi="宋体"/>
          <w:b/>
          <w:szCs w:val="21"/>
        </w:rPr>
        <w:t>生产设备和</w:t>
      </w:r>
      <w:r>
        <w:rPr>
          <w:rFonts w:hint="eastAsia" w:ascii="宋体" w:hAnsi="宋体"/>
          <w:b/>
          <w:color w:val="000000"/>
          <w:szCs w:val="21"/>
        </w:rPr>
        <w:t>工艺工装</w:t>
      </w:r>
    </w:p>
    <w:tbl>
      <w:tblPr>
        <w:tblStyle w:val="19"/>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0"/>
        <w:gridCol w:w="2150"/>
        <w:gridCol w:w="4216"/>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atLeast"/>
          <w:tblHeader/>
          <w:jc w:val="center"/>
        </w:trPr>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outlineLvl w:val="9"/>
              <w:rPr>
                <w:rFonts w:ascii="宋体" w:hAnsi="宋体"/>
                <w:b/>
                <w:color w:val="000000"/>
                <w:szCs w:val="21"/>
              </w:rPr>
            </w:pPr>
            <w:r>
              <w:rPr>
                <w:rFonts w:hint="eastAsia" w:ascii="宋体" w:hAnsi="宋体"/>
                <w:b/>
                <w:color w:val="000000"/>
                <w:szCs w:val="21"/>
              </w:rPr>
              <w:t>类别</w:t>
            </w: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outlineLvl w:val="9"/>
              <w:rPr>
                <w:rFonts w:ascii="宋体" w:hAnsi="宋体"/>
                <w:b/>
                <w:color w:val="000000"/>
                <w:szCs w:val="21"/>
              </w:rPr>
            </w:pPr>
            <w:r>
              <w:rPr>
                <w:rFonts w:hint="eastAsia" w:ascii="宋体" w:hAnsi="宋体"/>
                <w:b/>
                <w:color w:val="000000"/>
                <w:szCs w:val="21"/>
              </w:rPr>
              <w:t>设备名称</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outlineLvl w:val="9"/>
              <w:rPr>
                <w:rFonts w:ascii="宋体" w:hAnsi="宋体"/>
                <w:b/>
                <w:color w:val="000000"/>
                <w:szCs w:val="21"/>
              </w:rPr>
            </w:pPr>
            <w:r>
              <w:rPr>
                <w:rFonts w:hint="eastAsia" w:ascii="宋体" w:hAnsi="宋体"/>
                <w:b/>
                <w:color w:val="000000"/>
                <w:szCs w:val="21"/>
              </w:rPr>
              <w:t>设备要求</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outlineLvl w:val="9"/>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生产设备</w:t>
            </w: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混凝土搅拌站</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不少于2台，强制式卧轴搅拌机或者强制式行星搅拌机及自动计量配料系统</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Theme="minorEastAsia" w:hAnsiTheme="minorEastAsia"/>
                <w:bCs/>
                <w:szCs w:val="21"/>
              </w:rPr>
              <w:t>法律法规规定的除外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压浆台车</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搅拌机（自动计量系统）、压浆泵、真空泵</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先张梁无此项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混凝土灌注设备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输送泵、布料机</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箱梁生产时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蒸汽养护设备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供热量应满足混凝土材料预热、制梁、养护和管道压浆需要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不冬期施工时无此项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 xml:space="preserve">张拉设备 </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油泵、千斤顶并以油压表/应力控制为主</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放张设备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油泵、千斤顶并以油压表/应力控制为主</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先张梁适用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龙门吊</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额定起吊能力满足最大使用荷载的需要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提梁/移梁设备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额定起吊能力满足最大使用荷载的需要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采用提梁机时可租赁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left"/>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发电机</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备用发电机，功率应满足停电时继续生产、办公、试验室试验</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有双向供电系统时不适用且可租赁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r>
              <w:rPr>
                <w:rFonts w:hint="eastAsia" w:ascii="宋体" w:hAnsi="宋体"/>
                <w:color w:val="000000"/>
                <w:szCs w:val="21"/>
              </w:rPr>
              <w:t>工艺工装</w:t>
            </w: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制梁台座及配套装备</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基础牢固，数量满足生产工期的需要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存梁台座</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基础牢固，不产生不均匀沉降，数量满足生产工期的需要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模板</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底模、侧模、端模、内模</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可租赁、内模T梁不适用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定位网片焊接胎卡具</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人工焊接时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梁体钢筋绑扎胎卡具</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底腹板钢筋绑扎胎具、桥面筋绑扎胎具</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箱梁底腹顶钢筋应整体绑扎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混凝土灌注防雨设施</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能满足在雨中灌注混凝土需要</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箱梁生产时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5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outlineLvl w:val="9"/>
              <w:rPr>
                <w:rFonts w:ascii="宋体" w:hAnsi="宋体"/>
                <w:color w:val="000000"/>
                <w:szCs w:val="21"/>
              </w:rPr>
            </w:pPr>
          </w:p>
        </w:tc>
        <w:tc>
          <w:tcPr>
            <w:tcW w:w="21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混凝土养护装置</w:t>
            </w:r>
          </w:p>
        </w:tc>
        <w:tc>
          <w:tcPr>
            <w:tcW w:w="4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保温设施（蒸养罩、棚、房）</w:t>
            </w:r>
          </w:p>
        </w:tc>
        <w:tc>
          <w:tcPr>
            <w:tcW w:w="21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olor w:val="000000"/>
                <w:szCs w:val="21"/>
              </w:rPr>
            </w:pPr>
            <w:r>
              <w:rPr>
                <w:rFonts w:hint="eastAsia" w:ascii="宋体" w:hAnsi="宋体"/>
                <w:color w:val="000000"/>
                <w:szCs w:val="21"/>
              </w:rPr>
              <w:t>蒸汽养护时</w:t>
            </w:r>
          </w:p>
        </w:tc>
      </w:tr>
    </w:tbl>
    <w:p>
      <w:pPr>
        <w:pStyle w:val="40"/>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0"/>
        <w:textAlignment w:val="auto"/>
        <w:outlineLvl w:val="9"/>
        <w:rPr>
          <w:rFonts w:ascii="宋体" w:hAnsi="宋体"/>
          <w:iCs/>
          <w:kern w:val="0"/>
        </w:rPr>
      </w:pPr>
      <w:r>
        <w:rPr>
          <w:rFonts w:hint="eastAsia" w:ascii="宋体" w:hAnsi="宋体"/>
          <w:iCs/>
          <w:kern w:val="0"/>
        </w:rPr>
        <w:t>注：（1）本表为企业应具备的基本生产设备和工艺工装，可与上述设备名称不同，但应满足上述设备的功能性能精度要求。</w:t>
      </w:r>
    </w:p>
    <w:p>
      <w:pPr>
        <w:pStyle w:val="40"/>
        <w:spacing w:line="360" w:lineRule="auto"/>
        <w:ind w:firstLine="735" w:firstLineChars="350"/>
        <w:rPr>
          <w:rFonts w:ascii="宋体" w:hAnsi="宋体"/>
          <w:iCs/>
          <w:kern w:val="0"/>
          <w:sz w:val="24"/>
          <w:szCs w:val="24"/>
        </w:rPr>
      </w:pPr>
      <w:r>
        <w:rPr>
          <w:rFonts w:hint="eastAsia" w:ascii="宋体" w:hAnsi="宋体"/>
          <w:iCs/>
          <w:kern w:val="0"/>
        </w:rPr>
        <w:t>（2）可租赁的必备设备和工装，租赁时间须满足生产许可证发证周期的要求。</w:t>
      </w:r>
    </w:p>
    <w:p>
      <w:pPr>
        <w:jc w:val="center"/>
        <w:rPr>
          <w:rFonts w:ascii="宋体" w:hAnsi="宋体"/>
          <w:b/>
          <w:color w:val="000000"/>
        </w:rPr>
      </w:pPr>
    </w:p>
    <w:p>
      <w:pPr>
        <w:jc w:val="center"/>
        <w:rPr>
          <w:rFonts w:hint="eastAsia" w:ascii="宋体" w:hAnsi="宋体"/>
          <w:b/>
          <w:color w:val="000000"/>
        </w:rPr>
      </w:pPr>
      <w:r>
        <w:rPr>
          <w:rFonts w:hint="eastAsia" w:ascii="宋体" w:hAnsi="宋体"/>
          <w:b/>
          <w:color w:val="000000"/>
        </w:rPr>
        <w:br w:type="page"/>
      </w:r>
    </w:p>
    <w:p>
      <w:pPr>
        <w:keepNext w:val="0"/>
        <w:keepLines w:val="0"/>
        <w:pageBreakBefore w:val="0"/>
        <w:widowControl w:val="0"/>
        <w:kinsoku/>
        <w:wordWrap/>
        <w:overflowPunct/>
        <w:topLinePunct w:val="0"/>
        <w:autoSpaceDE/>
        <w:autoSpaceDN/>
        <w:bidi w:val="0"/>
        <w:adjustRightInd/>
        <w:snapToGrid/>
        <w:spacing w:before="95" w:beforeLines="30" w:after="157" w:afterLines="50"/>
        <w:jc w:val="center"/>
        <w:textAlignment w:val="auto"/>
        <w:outlineLvl w:val="9"/>
        <w:rPr>
          <w:rFonts w:ascii="宋体" w:hAnsi="宋体"/>
          <w:b/>
        </w:rPr>
      </w:pPr>
      <w:r>
        <w:rPr>
          <w:rFonts w:hint="eastAsia" w:ascii="宋体" w:hAnsi="宋体"/>
          <w:b/>
          <w:color w:val="000000"/>
        </w:rPr>
        <w:t>表3-3</w:t>
      </w:r>
      <w:r>
        <w:rPr>
          <w:rFonts w:hint="default" w:ascii="宋体" w:hAnsi="宋体"/>
          <w:b/>
          <w:color w:val="000000"/>
          <w:lang w:val="en-US"/>
        </w:rPr>
        <w:t xml:space="preserve"> </w:t>
      </w:r>
      <w:r>
        <w:rPr>
          <w:rFonts w:hint="eastAsia" w:ascii="宋体" w:hAnsi="宋体"/>
          <w:b/>
          <w:color w:val="000000"/>
        </w:rPr>
        <w:t>企业生产</w:t>
      </w:r>
      <w:r>
        <w:rPr>
          <w:rFonts w:hint="eastAsia" w:ascii="宋体" w:hAnsi="宋体"/>
          <w:b/>
        </w:rPr>
        <w:t>预应力混凝土铁路桥简支梁产品应具备的检验设备及检验类别</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130"/>
        <w:gridCol w:w="2259"/>
        <w:gridCol w:w="1695"/>
        <w:gridCol w:w="2542"/>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trPr>
        <w:tc>
          <w:tcPr>
            <w:tcW w:w="672"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序号</w:t>
            </w:r>
          </w:p>
        </w:tc>
        <w:tc>
          <w:tcPr>
            <w:tcW w:w="1130"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检验项目</w:t>
            </w:r>
          </w:p>
        </w:tc>
        <w:tc>
          <w:tcPr>
            <w:tcW w:w="2259"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依据标准及条款</w:t>
            </w:r>
          </w:p>
        </w:tc>
        <w:tc>
          <w:tcPr>
            <w:tcW w:w="1695"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检验设备</w:t>
            </w:r>
          </w:p>
        </w:tc>
        <w:tc>
          <w:tcPr>
            <w:tcW w:w="2542"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精度或测量范围</w:t>
            </w:r>
          </w:p>
        </w:tc>
        <w:tc>
          <w:tcPr>
            <w:tcW w:w="988" w:type="dxa"/>
            <w:vAlign w:val="center"/>
          </w:tcPr>
          <w:p>
            <w:pPr>
              <w:keepNext w:val="0"/>
              <w:keepLines w:val="0"/>
              <w:pageBreakBefore w:val="0"/>
              <w:widowControl w:val="0"/>
              <w:kinsoku/>
              <w:wordWrap/>
              <w:overflowPunct/>
              <w:topLinePunct w:val="0"/>
              <w:autoSpaceDE/>
              <w:autoSpaceDN/>
              <w:bidi w:val="0"/>
              <w:adjustRightInd w:val="0"/>
              <w:snapToGrid/>
              <w:spacing w:before="126" w:beforeLines="40" w:after="126" w:afterLines="40" w:line="360" w:lineRule="exact"/>
              <w:jc w:val="center"/>
              <w:textAlignment w:val="baseline"/>
              <w:outlineLvl w:val="9"/>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szCs w:val="21"/>
              </w:rPr>
              <w:t>水泥比表面积、凝结时间、安定性、强度</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3043-2005预制后张法预应力混凝土铁路桥简支T梁技术条件5.2.2</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kern w:val="0"/>
                <w:szCs w:val="21"/>
              </w:rPr>
              <w:t>比表面积测定仪</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kern w:val="0"/>
                <w:szCs w:val="21"/>
              </w:rPr>
              <w:t>符合</w:t>
            </w:r>
            <w:r>
              <w:rPr>
                <w:rFonts w:ascii="宋体" w:hAnsi="宋体" w:cs="宋体"/>
                <w:kern w:val="0"/>
                <w:szCs w:val="21"/>
              </w:rPr>
              <w:t>JC/T956-2014勃氏透气仪</w:t>
            </w:r>
            <w:r>
              <w:rPr>
                <w:rFonts w:hint="eastAsia" w:ascii="宋体" w:hAnsi="宋体" w:cs="宋体"/>
                <w:kern w:val="0"/>
                <w:szCs w:val="21"/>
              </w:rPr>
              <w:t>要求</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水泥净浆搅拌机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符合</w:t>
            </w:r>
            <w:r>
              <w:rPr>
                <w:rFonts w:ascii="宋体" w:hAnsi="宋体" w:cs="宋体"/>
                <w:kern w:val="0"/>
                <w:szCs w:val="21"/>
              </w:rPr>
              <w:t>JC/T729</w:t>
            </w:r>
            <w:r>
              <w:rPr>
                <w:rFonts w:hint="eastAsia" w:ascii="宋体" w:hAnsi="宋体" w:cs="宋体"/>
                <w:kern w:val="0"/>
                <w:szCs w:val="21"/>
              </w:rPr>
              <w:t>-2005水泥净浆搅拌机要求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kern w:val="0"/>
                <w:szCs w:val="21"/>
              </w:rPr>
              <w:t>沸煮箱</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kern w:val="0"/>
                <w:szCs w:val="21"/>
              </w:rPr>
              <w:t>符合</w:t>
            </w:r>
            <w:r>
              <w:rPr>
                <w:rFonts w:ascii="宋体" w:hAnsi="宋体" w:cs="宋体"/>
                <w:kern w:val="0"/>
                <w:szCs w:val="21"/>
              </w:rPr>
              <w:t>JC/T955</w:t>
            </w:r>
            <w:r>
              <w:rPr>
                <w:rFonts w:hint="eastAsia" w:ascii="宋体" w:hAnsi="宋体" w:cs="宋体"/>
                <w:kern w:val="0"/>
                <w:szCs w:val="21"/>
              </w:rPr>
              <w:t>-2005水泥安定性试验用沸煮箱要求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kern w:val="0"/>
                <w:szCs w:val="21"/>
              </w:rPr>
              <w:t>水泥胶砂搅拌机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kern w:val="0"/>
                <w:szCs w:val="21"/>
              </w:rPr>
              <w:t>符合</w:t>
            </w:r>
            <w:r>
              <w:rPr>
                <w:rFonts w:ascii="宋体" w:hAnsi="宋体" w:cs="宋体"/>
                <w:kern w:val="0"/>
                <w:szCs w:val="21"/>
              </w:rPr>
              <w:t>JC/T681</w:t>
            </w:r>
            <w:r>
              <w:rPr>
                <w:rFonts w:hint="eastAsia" w:ascii="宋体" w:hAnsi="宋体" w:cs="宋体"/>
                <w:kern w:val="0"/>
                <w:szCs w:val="21"/>
              </w:rPr>
              <w:t>-2005行星式水泥胶砂搅拌机要求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水泥胶砂振动台</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符合</w:t>
            </w:r>
            <w:r>
              <w:rPr>
                <w:rFonts w:ascii="宋体" w:hAnsi="宋体" w:cs="宋体"/>
                <w:kern w:val="0"/>
                <w:szCs w:val="21"/>
              </w:rPr>
              <w:t>JC/T682</w:t>
            </w:r>
            <w:r>
              <w:rPr>
                <w:rFonts w:hint="eastAsia" w:ascii="宋体" w:hAnsi="宋体" w:cs="宋体"/>
                <w:kern w:val="0"/>
                <w:szCs w:val="21"/>
              </w:rPr>
              <w:t>-2005水泥胶砂试体成型振实台要求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360" w:lineRule="exact"/>
              <w:jc w:val="center"/>
              <w:outlineLvl w:val="9"/>
              <w:rPr>
                <w:rFonts w:ascii="宋体" w:hAnsi="宋体" w:cs="宋体"/>
                <w:kern w:val="0"/>
                <w:szCs w:val="21"/>
              </w:rPr>
            </w:pPr>
            <w:r>
              <w:rPr>
                <w:rFonts w:hint="eastAsia" w:ascii="宋体" w:hAnsi="宋体" w:cs="宋体"/>
                <w:kern w:val="0"/>
                <w:szCs w:val="21"/>
              </w:rPr>
              <w:t>维卡仪</w:t>
            </w:r>
          </w:p>
        </w:tc>
        <w:tc>
          <w:tcPr>
            <w:tcW w:w="2542" w:type="dxa"/>
            <w:vAlign w:val="center"/>
          </w:tcPr>
          <w:p>
            <w:pPr>
              <w:keepNext w:val="0"/>
              <w:keepLines w:val="0"/>
              <w:pageBreakBefore w:val="0"/>
              <w:widowControl/>
              <w:kinsoku/>
              <w:wordWrap/>
              <w:overflowPunct/>
              <w:topLinePunct w:val="0"/>
              <w:autoSpaceDE/>
              <w:autoSpaceDN/>
              <w:bidi w:val="0"/>
              <w:snapToGrid/>
              <w:spacing w:line="360" w:lineRule="exact"/>
              <w:jc w:val="left"/>
              <w:outlineLvl w:val="9"/>
              <w:rPr>
                <w:rFonts w:ascii="宋体" w:hAnsi="宋体" w:cs="宋体"/>
                <w:kern w:val="0"/>
                <w:szCs w:val="21"/>
              </w:rPr>
            </w:pPr>
            <w:r>
              <w:rPr>
                <w:rFonts w:hint="eastAsia" w:ascii="宋体" w:hAnsi="宋体" w:cs="宋体"/>
                <w:kern w:val="0"/>
                <w:szCs w:val="21"/>
              </w:rPr>
              <w:t>符合</w:t>
            </w:r>
            <w:r>
              <w:rPr>
                <w:rFonts w:ascii="宋体" w:hAnsi="宋体" w:cs="宋体"/>
                <w:kern w:val="0"/>
                <w:szCs w:val="21"/>
              </w:rPr>
              <w:t>GB/T1346</w:t>
            </w:r>
            <w:r>
              <w:rPr>
                <w:rFonts w:hint="eastAsia" w:ascii="宋体" w:hAnsi="宋体" w:cs="宋体"/>
                <w:kern w:val="0"/>
                <w:szCs w:val="21"/>
              </w:rPr>
              <w:t>-2011水泥标准稠度用水量、凝结时间、安定性检验方法要求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抗折强度试验机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符合</w:t>
            </w:r>
            <w:r>
              <w:rPr>
                <w:rFonts w:hint="eastAsia" w:cs="宋体" w:asciiTheme="minorEastAsia" w:hAnsiTheme="minorEastAsia" w:eastAsiaTheme="minorEastAsia"/>
                <w:bCs/>
                <w:color w:val="000000"/>
                <w:szCs w:val="21"/>
              </w:rPr>
              <w:t>GB/T17671-1999</w:t>
            </w:r>
            <w:r>
              <w:rPr>
                <w:rFonts w:hint="eastAsia" w:ascii="宋体" w:hAnsi="宋体" w:cs="宋体"/>
                <w:kern w:val="0"/>
                <w:szCs w:val="21"/>
              </w:rPr>
              <w:t>水泥胶砂强度检验方法（ISO法）要求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抗压强度试验机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符合</w:t>
            </w:r>
            <w:r>
              <w:rPr>
                <w:rFonts w:hint="eastAsia" w:cs="宋体" w:asciiTheme="minorEastAsia" w:hAnsiTheme="minorEastAsia" w:eastAsiaTheme="minorEastAsia"/>
                <w:bCs/>
                <w:color w:val="000000"/>
                <w:szCs w:val="21"/>
              </w:rPr>
              <w:t>GB/T17671-1999</w:t>
            </w:r>
            <w:r>
              <w:rPr>
                <w:rFonts w:hint="eastAsia" w:ascii="宋体" w:hAnsi="宋体" w:cs="宋体"/>
                <w:kern w:val="0"/>
                <w:szCs w:val="21"/>
              </w:rPr>
              <w:t>水泥胶砂强度检验方法（ISO法）要求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kern w:val="0"/>
                <w:szCs w:val="21"/>
              </w:rPr>
              <w:t>水泥标准养护箱</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kern w:val="0"/>
                <w:szCs w:val="21"/>
              </w:rPr>
              <w:t>微机自动控制±</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 xml:space="preserve"> </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b/>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秒表</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精确至0.5s</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11</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b/>
                <w:szCs w:val="21"/>
              </w:rPr>
            </w:pPr>
            <w:r>
              <w:rPr>
                <w:rFonts w:hint="eastAsia" w:ascii="宋体" w:hAnsi="宋体" w:cs="宋体"/>
                <w:szCs w:val="21"/>
              </w:rPr>
              <w:t>细骨料颗粒级配、含泥量、泥块含量、云母含量、轻物质含量、有机物含量</w:t>
            </w:r>
          </w:p>
        </w:tc>
        <w:tc>
          <w:tcPr>
            <w:tcW w:w="2259"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7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3043-2005预制后张法预应力混凝土铁路桥简支T梁技术条件5.2.2</w:t>
            </w:r>
          </w:p>
          <w:p>
            <w:pPr>
              <w:keepNext w:val="0"/>
              <w:keepLines w:val="0"/>
              <w:pageBreakBefore w:val="0"/>
              <w:widowControl w:val="0"/>
              <w:kinsoku/>
              <w:wordWrap/>
              <w:overflowPunct/>
              <w:topLinePunct w:val="0"/>
              <w:autoSpaceDE/>
              <w:autoSpaceDN/>
              <w:bidi w:val="0"/>
              <w:adjustRightInd w:val="0"/>
              <w:snapToGrid/>
              <w:spacing w:line="37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widowControl w:val="0"/>
              <w:kinsoku/>
              <w:wordWrap/>
              <w:overflowPunct/>
              <w:topLinePunct w:val="0"/>
              <w:autoSpaceDE/>
              <w:autoSpaceDN/>
              <w:bidi w:val="0"/>
              <w:adjustRightInd w:val="0"/>
              <w:snapToGrid/>
              <w:spacing w:line="37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widowControl w:val="0"/>
              <w:kinsoku/>
              <w:wordWrap/>
              <w:overflowPunct/>
              <w:topLinePunct w:val="0"/>
              <w:autoSpaceDE/>
              <w:autoSpaceDN/>
              <w:bidi w:val="0"/>
              <w:adjustRightInd w:val="0"/>
              <w:snapToGrid/>
              <w:spacing w:line="370" w:lineRule="exact"/>
              <w:textAlignment w:val="baseline"/>
              <w:outlineLvl w:val="9"/>
              <w:rPr>
                <w:rFonts w:ascii="宋体" w:hAnsi="宋体" w:cs="宋体"/>
                <w:b/>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标准筛</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包括筛孔0.15、0.30、0.60、1.18、2.36、4.75mm</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b/>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摇筛机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专用</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烘箱</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控制范围105±5℃</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比重计</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测定范围1.0～2.0</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360" w:lineRule="exact"/>
              <w:jc w:val="center"/>
              <w:outlineLvl w:val="9"/>
              <w:rPr>
                <w:rFonts w:ascii="宋体" w:hAnsi="宋体" w:cs="宋体"/>
                <w:kern w:val="0"/>
                <w:szCs w:val="21"/>
              </w:rPr>
            </w:pPr>
            <w:r>
              <w:rPr>
                <w:rFonts w:hint="eastAsia" w:ascii="宋体" w:hAnsi="宋体" w:cs="宋体"/>
                <w:kern w:val="0"/>
                <w:szCs w:val="21"/>
              </w:rPr>
              <w:t>烧杯</w:t>
            </w:r>
          </w:p>
        </w:tc>
        <w:tc>
          <w:tcPr>
            <w:tcW w:w="2542" w:type="dxa"/>
            <w:vAlign w:val="center"/>
          </w:tcPr>
          <w:p>
            <w:pPr>
              <w:keepNext w:val="0"/>
              <w:keepLines w:val="0"/>
              <w:pageBreakBefore w:val="0"/>
              <w:widowControl/>
              <w:kinsoku/>
              <w:wordWrap/>
              <w:overflowPunct/>
              <w:topLinePunct w:val="0"/>
              <w:autoSpaceDE/>
              <w:autoSpaceDN/>
              <w:bidi w:val="0"/>
              <w:snapToGrid/>
              <w:spacing w:line="360" w:lineRule="exact"/>
              <w:jc w:val="left"/>
              <w:outlineLvl w:val="9"/>
              <w:rPr>
                <w:rFonts w:ascii="宋体" w:hAnsi="宋体" w:cs="宋体"/>
                <w:kern w:val="0"/>
                <w:szCs w:val="21"/>
              </w:rPr>
            </w:pPr>
            <w:r>
              <w:rPr>
                <w:rFonts w:ascii="宋体" w:hAnsi="宋体" w:cs="宋体"/>
                <w:kern w:val="0"/>
                <w:szCs w:val="21"/>
              </w:rPr>
              <w:t>150mL</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量程1kg，感量1g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量程5kg，感量5g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感量0.1g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19</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粗骨料颗粒级配、压碎指标、针片状含量、含泥量、泥块含量</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标准筛</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包括筛孔2.36、4.75、9.5、16.0、19.0、26.5mm</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摇筛机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专用</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烘箱</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控制范围105±5℃</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针状规准仪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符合GB/T14685-2011</w:t>
            </w:r>
            <w:r>
              <w:rPr>
                <w:rFonts w:hint="eastAsia" w:ascii="宋体" w:hAnsi="宋体" w:cs="宋体"/>
                <w:kern w:val="0"/>
                <w:szCs w:val="21"/>
              </w:rPr>
              <w:t>建设用卵石、碎石</w:t>
            </w:r>
            <w:r>
              <w:rPr>
                <w:rFonts w:hint="eastAsia" w:ascii="宋体" w:hAnsi="宋体" w:cs="宋体"/>
                <w:szCs w:val="21"/>
              </w:rPr>
              <w:t>规定</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片状规准仪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符合GB/T14685-2011</w:t>
            </w:r>
            <w:r>
              <w:rPr>
                <w:rFonts w:hint="eastAsia" w:ascii="宋体" w:hAnsi="宋体" w:cs="宋体"/>
                <w:kern w:val="0"/>
                <w:szCs w:val="21"/>
              </w:rPr>
              <w:t>建设用卵石、碎石</w:t>
            </w:r>
            <w:r>
              <w:rPr>
                <w:rFonts w:hint="eastAsia" w:ascii="宋体" w:hAnsi="宋体" w:cs="宋体"/>
                <w:szCs w:val="21"/>
              </w:rPr>
              <w:t>规定</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压力试验机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1000kN，2级</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压碎指标测定仪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符合GB/T14685-2011</w:t>
            </w:r>
            <w:r>
              <w:rPr>
                <w:rFonts w:hint="eastAsia" w:ascii="宋体" w:hAnsi="宋体" w:cs="宋体"/>
                <w:kern w:val="0"/>
                <w:szCs w:val="21"/>
              </w:rPr>
              <w:t>建设用卵石、碎石</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卡尺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150mm，分度值0.02mm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量程2kg，感量2g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量程5kg，感量5g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29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电子天平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量程20kg，感量20g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30</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减水剂和引气剂减水率、泌水率比、压力泌水率比、含气量、抗压强度比、含固量、凝结时间差</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单卧轴式强制搅拌机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容量60L</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压力泌水仪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符合TB/T3275-2011</w:t>
            </w:r>
            <w:r>
              <w:rPr>
                <w:rFonts w:hint="eastAsia" w:ascii="宋体" w:hAnsi="宋体" w:cs="宋体"/>
                <w:kern w:val="0"/>
                <w:szCs w:val="21"/>
              </w:rPr>
              <w:t>铁路混凝土</w:t>
            </w:r>
            <w:r>
              <w:rPr>
                <w:rFonts w:hint="eastAsia" w:ascii="宋体" w:hAnsi="宋体" w:cs="宋体"/>
                <w:szCs w:val="21"/>
              </w:rPr>
              <w:t>规定</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280" w:lineRule="exact"/>
              <w:jc w:val="center"/>
              <w:outlineLvl w:val="9"/>
              <w:rPr>
                <w:rFonts w:ascii="宋体" w:hAnsi="宋体" w:cs="宋体"/>
                <w:kern w:val="0"/>
                <w:szCs w:val="21"/>
              </w:rPr>
            </w:pPr>
            <w:r>
              <w:rPr>
                <w:rFonts w:hint="eastAsia" w:ascii="宋体" w:hAnsi="宋体" w:cs="宋体"/>
                <w:kern w:val="0"/>
                <w:szCs w:val="21"/>
              </w:rPr>
              <w:t>坍落度仪</w:t>
            </w:r>
          </w:p>
        </w:tc>
        <w:tc>
          <w:tcPr>
            <w:tcW w:w="2542" w:type="dxa"/>
            <w:vAlign w:val="center"/>
          </w:tcPr>
          <w:p>
            <w:pPr>
              <w:keepNext w:val="0"/>
              <w:keepLines w:val="0"/>
              <w:pageBreakBefore w:val="0"/>
              <w:widowControl/>
              <w:kinsoku/>
              <w:wordWrap/>
              <w:overflowPunct/>
              <w:topLinePunct w:val="0"/>
              <w:autoSpaceDE/>
              <w:autoSpaceDN/>
              <w:bidi w:val="0"/>
              <w:snapToGrid/>
              <w:spacing w:line="280" w:lineRule="exact"/>
              <w:jc w:val="left"/>
              <w:outlineLvl w:val="9"/>
              <w:rPr>
                <w:rFonts w:ascii="宋体" w:hAnsi="宋体" w:cs="宋体"/>
                <w:kern w:val="0"/>
                <w:szCs w:val="21"/>
              </w:rPr>
            </w:pPr>
            <w:r>
              <w:rPr>
                <w:rFonts w:hint="eastAsia" w:ascii="宋体" w:hAnsi="宋体" w:cs="宋体"/>
                <w:kern w:val="0"/>
                <w:szCs w:val="21"/>
              </w:rPr>
              <w:t>符合</w:t>
            </w:r>
            <w:r>
              <w:rPr>
                <w:rFonts w:ascii="宋体" w:hAnsi="宋体" w:cs="宋体"/>
                <w:kern w:val="0"/>
                <w:szCs w:val="21"/>
              </w:rPr>
              <w:t>JG3021</w:t>
            </w:r>
            <w:r>
              <w:rPr>
                <w:rFonts w:hint="eastAsia" w:ascii="宋体" w:hAnsi="宋体" w:cs="宋体"/>
                <w:kern w:val="0"/>
                <w:szCs w:val="21"/>
              </w:rPr>
              <w:t>-1994混凝土坍落度仪要求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含气量测试仪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直读式</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混凝土试验室用振动台</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符合JG/T3020-1994混凝土试验用振动台要求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标准养护控制仪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自动控制，相对湿度≥</w:t>
            </w:r>
            <w:r>
              <w:rPr>
                <w:rFonts w:ascii="宋体" w:hAnsi="宋体" w:cs="宋体"/>
                <w:szCs w:val="21"/>
              </w:rPr>
              <w:t>95%</w:t>
            </w:r>
            <w:r>
              <w:rPr>
                <w:rFonts w:hint="eastAsia" w:ascii="宋体" w:hAnsi="宋体" w:cs="宋体"/>
                <w:szCs w:val="21"/>
              </w:rPr>
              <w:t>，温度</w:t>
            </w:r>
            <w:r>
              <w:rPr>
                <w:rFonts w:ascii="宋体" w:hAnsi="宋体" w:cs="宋体"/>
                <w:szCs w:val="21"/>
              </w:rPr>
              <w:t>20</w:t>
            </w:r>
            <w:r>
              <w:rPr>
                <w:rFonts w:hint="eastAsia" w:ascii="宋体" w:hAnsi="宋体" w:cs="宋体"/>
                <w:szCs w:val="21"/>
              </w:rPr>
              <w:t>±</w:t>
            </w:r>
            <w:r>
              <w:rPr>
                <w:rFonts w:ascii="宋体" w:hAnsi="宋体" w:cs="宋体"/>
                <w:szCs w:val="21"/>
              </w:rPr>
              <w:t>2</w:t>
            </w:r>
            <w:r>
              <w:rPr>
                <w:rFonts w:hint="eastAsia" w:ascii="宋体" w:hAnsi="宋体" w:cs="宋体"/>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压力试验机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2000kN，精度1级</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贯入阻力仪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精度10N</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量程2kg，感量2g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39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台秤</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量程50kg，感量50g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40</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粉煤灰细度、烧失量、需水量比</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负压筛析仪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45μm方孔</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hint="eastAsia" w:ascii="宋体" w:hAnsi="宋体" w:cs="宋体"/>
                <w:szCs w:val="21"/>
              </w:rPr>
            </w:pPr>
            <w:r>
              <w:rPr>
                <w:rFonts w:hint="eastAsia" w:ascii="宋体" w:hAnsi="宋体" w:cs="宋体"/>
                <w:szCs w:val="21"/>
              </w:rPr>
              <w:t>使用</w:t>
            </w:r>
          </w:p>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粉煤灰必备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箱式电炉</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箱式电炉</w:t>
            </w:r>
            <w:r>
              <w:rPr>
                <w:rFonts w:ascii="宋体" w:hAnsi="宋体" w:cs="宋体"/>
                <w:szCs w:val="21"/>
              </w:rPr>
              <w:t>1200℃</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流动度跳桌</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符合GB/T2419-2016水泥胶砂流动度测定方法要求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280" w:lineRule="exact"/>
              <w:jc w:val="center"/>
              <w:outlineLvl w:val="9"/>
              <w:rPr>
                <w:rFonts w:hint="eastAsia" w:ascii="宋体" w:hAnsi="宋体" w:cs="宋体"/>
                <w:kern w:val="0"/>
                <w:szCs w:val="21"/>
              </w:rPr>
            </w:pPr>
            <w:r>
              <w:rPr>
                <w:rFonts w:hint="eastAsia" w:ascii="宋体" w:hAnsi="宋体" w:cs="宋体"/>
                <w:kern w:val="0"/>
                <w:szCs w:val="21"/>
              </w:rPr>
              <w:t>游离氧化钙</w:t>
            </w:r>
          </w:p>
          <w:p>
            <w:pPr>
              <w:keepNext w:val="0"/>
              <w:keepLines w:val="0"/>
              <w:pageBreakBefore w:val="0"/>
              <w:widowControl/>
              <w:kinsoku/>
              <w:wordWrap/>
              <w:overflowPunct/>
              <w:topLinePunct w:val="0"/>
              <w:autoSpaceDE/>
              <w:autoSpaceDN/>
              <w:bidi w:val="0"/>
              <w:snapToGrid/>
              <w:spacing w:line="280" w:lineRule="exact"/>
              <w:jc w:val="center"/>
              <w:outlineLvl w:val="9"/>
              <w:rPr>
                <w:rFonts w:ascii="宋体" w:hAnsi="宋体" w:cs="宋体"/>
                <w:kern w:val="0"/>
                <w:szCs w:val="21"/>
              </w:rPr>
            </w:pPr>
            <w:r>
              <w:rPr>
                <w:rFonts w:hint="eastAsia" w:ascii="宋体" w:hAnsi="宋体" w:cs="宋体"/>
                <w:kern w:val="0"/>
                <w:szCs w:val="21"/>
              </w:rPr>
              <w:t>测定仪</w:t>
            </w:r>
          </w:p>
        </w:tc>
        <w:tc>
          <w:tcPr>
            <w:tcW w:w="2542" w:type="dxa"/>
            <w:vAlign w:val="center"/>
          </w:tcPr>
          <w:p>
            <w:pPr>
              <w:keepNext w:val="0"/>
              <w:keepLines w:val="0"/>
              <w:pageBreakBefore w:val="0"/>
              <w:widowControl/>
              <w:kinsoku/>
              <w:wordWrap/>
              <w:overflowPunct/>
              <w:topLinePunct w:val="0"/>
              <w:autoSpaceDE/>
              <w:autoSpaceDN/>
              <w:bidi w:val="0"/>
              <w:snapToGrid/>
              <w:spacing w:line="280" w:lineRule="exact"/>
              <w:jc w:val="left"/>
              <w:outlineLvl w:val="9"/>
              <w:rPr>
                <w:rFonts w:ascii="宋体" w:hAnsi="宋体" w:cs="宋体"/>
                <w:kern w:val="0"/>
                <w:szCs w:val="21"/>
              </w:rPr>
            </w:pPr>
            <w:r>
              <w:rPr>
                <w:rFonts w:hint="eastAsia" w:ascii="宋体" w:hAnsi="宋体" w:cs="宋体"/>
                <w:kern w:val="0"/>
                <w:szCs w:val="21"/>
              </w:rPr>
              <w:t>具有加热、搅拌、计时功能，并配冷凝管</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感量0.01g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分析天平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最小分度值0.1mg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量程1kg，最小分度值1g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47</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磨细矿渣粉密度、比表面积、烧失量、流动度比</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比表面积测定仪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符合JC/T 956-2014勃氏透气仪</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使用磨细矿渣粉必备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烘干箱</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灵敏度±1℃</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49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秒表</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精确至0.5s</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流动度跳桌</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符合GB/T2419-2016水泥胶砂流动度测定方法要求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箱式电炉</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箱式电炉</w:t>
            </w:r>
            <w:r>
              <w:rPr>
                <w:rFonts w:ascii="宋体" w:hAnsi="宋体" w:cs="宋体"/>
                <w:szCs w:val="21"/>
              </w:rPr>
              <w:t>1200</w:t>
            </w:r>
            <w:r>
              <w:rPr>
                <w:rFonts w:hint="eastAsia" w:ascii="宋体" w:hAnsi="宋体" w:cs="宋体"/>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分析天平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分度值0.001g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分析天平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最小分度值0.1mg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54</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压浆料/剂抗压强度、抗折强度、自由泌水率、流动度、自由膨胀率、凝结时间</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3043-2005预制后张法预应力混凝土铁路桥简支T梁技术条件5.2.4</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流动度测定仪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1725mL水流出时间8±0.2s</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后张法简支梁必备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抗折强度试验机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10000N，1级</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抗压强度试验机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kern w:val="0"/>
                <w:szCs w:val="21"/>
              </w:rPr>
              <w:t>符合</w:t>
            </w:r>
            <w:r>
              <w:rPr>
                <w:rFonts w:hint="eastAsia" w:cs="宋体" w:asciiTheme="minorEastAsia" w:hAnsiTheme="minorEastAsia" w:eastAsiaTheme="minorEastAsia"/>
                <w:bCs/>
                <w:color w:val="000000"/>
                <w:szCs w:val="21"/>
              </w:rPr>
              <w:t>GB/T17671-1999</w:t>
            </w:r>
            <w:r>
              <w:rPr>
                <w:rFonts w:hint="eastAsia" w:ascii="宋体" w:hAnsi="宋体" w:cs="宋体"/>
                <w:kern w:val="0"/>
                <w:szCs w:val="21"/>
              </w:rPr>
              <w:t>水泥胶砂强度检验方法（ISO法）要求</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57</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钢配件渗层厚度、螺纹精度、装配尺寸</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3274-2011铁路混凝土梁配件多元合金共渗防腐技术条件6.1.1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涂镀层测厚仪</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不低于B级</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螺纹量规</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对应本企业申请产品所涉预埋件</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59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280" w:lineRule="exact"/>
              <w:jc w:val="center"/>
              <w:outlineLvl w:val="9"/>
              <w:rPr>
                <w:rFonts w:ascii="宋体" w:hAnsi="宋体" w:cs="宋体"/>
                <w:kern w:val="0"/>
                <w:szCs w:val="21"/>
              </w:rPr>
            </w:pPr>
            <w:r>
              <w:rPr>
                <w:rFonts w:hint="eastAsia" w:ascii="宋体" w:hAnsi="宋体" w:cs="宋体"/>
                <w:kern w:val="0"/>
                <w:szCs w:val="21"/>
              </w:rPr>
              <w:t>塞尺</w:t>
            </w:r>
          </w:p>
        </w:tc>
        <w:tc>
          <w:tcPr>
            <w:tcW w:w="2542" w:type="dxa"/>
            <w:vAlign w:val="center"/>
          </w:tcPr>
          <w:p>
            <w:pPr>
              <w:keepNext w:val="0"/>
              <w:keepLines w:val="0"/>
              <w:pageBreakBefore w:val="0"/>
              <w:widowControl/>
              <w:kinsoku/>
              <w:wordWrap/>
              <w:overflowPunct/>
              <w:topLinePunct w:val="0"/>
              <w:autoSpaceDE/>
              <w:autoSpaceDN/>
              <w:bidi w:val="0"/>
              <w:snapToGrid/>
              <w:spacing w:line="280" w:lineRule="exact"/>
              <w:jc w:val="left"/>
              <w:outlineLvl w:val="9"/>
              <w:rPr>
                <w:rFonts w:ascii="宋体" w:hAnsi="宋体" w:cs="宋体"/>
                <w:kern w:val="0"/>
                <w:szCs w:val="21"/>
              </w:rPr>
            </w:pPr>
            <w:r>
              <w:rPr>
                <w:rFonts w:hint="eastAsia" w:ascii="宋体" w:hAnsi="宋体" w:cs="宋体"/>
                <w:kern w:val="0"/>
                <w:szCs w:val="21"/>
              </w:rPr>
              <w:t>最小分度值不高于</w:t>
            </w:r>
            <w:r>
              <w:rPr>
                <w:rFonts w:ascii="宋体" w:hAnsi="宋体" w:cs="宋体"/>
                <w:kern w:val="0"/>
                <w:szCs w:val="21"/>
              </w:rPr>
              <w:t>0.1mm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量程150mm，分度值0.02mm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量程1000mm，分度值0.02mm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62</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热轧光圆钢筋及带肋钢筋抗拉强度、屈服强度、伸长率、每延米质量、直径</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万能试验机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kern w:val="0"/>
                <w:szCs w:val="21"/>
              </w:rPr>
              <w:t>量程满足所用钢筋试验需要，</w:t>
            </w:r>
            <w:r>
              <w:rPr>
                <w:rFonts w:hint="eastAsia" w:ascii="宋体" w:hAnsi="宋体" w:cs="宋体"/>
                <w:szCs w:val="21"/>
              </w:rPr>
              <w:t>精度1级</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量程150mm，分度值0.02mm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万能试验机/弯曲机</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r>
              <w:rPr>
                <w:rFonts w:hint="eastAsia" w:ascii="宋体" w:hAnsi="宋体" w:cs="宋体"/>
                <w:szCs w:val="21"/>
              </w:rPr>
              <w:t>天平</w:t>
            </w:r>
          </w:p>
        </w:tc>
        <w:tc>
          <w:tcPr>
            <w:tcW w:w="2542" w:type="dxa"/>
            <w:vAlign w:val="center"/>
          </w:tcPr>
          <w:p>
            <w:pPr>
              <w:keepNext w:val="0"/>
              <w:keepLines w:val="0"/>
              <w:pageBreakBefore w:val="0"/>
              <w:kinsoku/>
              <w:wordWrap/>
              <w:overflowPunct/>
              <w:topLinePunct w:val="0"/>
              <w:autoSpaceDE/>
              <w:autoSpaceDN/>
              <w:bidi w:val="0"/>
              <w:adjustRightInd w:val="0"/>
              <w:snapToGrid/>
              <w:spacing w:line="280" w:lineRule="exact"/>
              <w:jc w:val="left"/>
              <w:textAlignment w:val="baseline"/>
              <w:outlineLvl w:val="9"/>
              <w:rPr>
                <w:rFonts w:ascii="宋体" w:hAnsi="宋体" w:cs="宋体"/>
                <w:szCs w:val="21"/>
              </w:rPr>
            </w:pPr>
            <w:r>
              <w:rPr>
                <w:rFonts w:hint="eastAsia" w:ascii="宋体" w:hAnsi="宋体" w:cs="宋体"/>
                <w:szCs w:val="21"/>
              </w:rPr>
              <w:t>感量1g</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28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66</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钢绞线破断负荷、屈服负荷、弹性模量、伸长率</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万能试验机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kern w:val="0"/>
                <w:szCs w:val="21"/>
              </w:rPr>
              <w:t>量程满足钢绞线试验需要，</w:t>
            </w:r>
            <w:r>
              <w:rPr>
                <w:rFonts w:hint="eastAsia" w:ascii="宋体" w:hAnsi="宋体" w:cs="宋体"/>
                <w:szCs w:val="21"/>
              </w:rPr>
              <w:t>精度1级</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数显游标卡尺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分度值0.01mm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68</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锚具外形尺寸、硬度</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金属洛氏硬度计</w:t>
            </w:r>
          </w:p>
        </w:tc>
        <w:tc>
          <w:tcPr>
            <w:tcW w:w="2542"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允许偏差±1.5HRC/HRA</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69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r>
              <w:rPr>
                <w:rFonts w:hint="eastAsia" w:ascii="宋体" w:hAnsi="宋体" w:cs="宋体"/>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分度值0.02mm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1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70</w:t>
            </w:r>
          </w:p>
        </w:tc>
        <w:tc>
          <w:tcPr>
            <w:tcW w:w="1130" w:type="dxa"/>
            <w:vAlign w:val="center"/>
          </w:tcPr>
          <w:p>
            <w:pPr>
              <w:keepNext w:val="0"/>
              <w:keepLines w:val="0"/>
              <w:pageBreakBefore w:val="0"/>
              <w:kinsoku/>
              <w:wordWrap/>
              <w:overflowPunct/>
              <w:topLinePunct w:val="0"/>
              <w:autoSpaceDE/>
              <w:autoSpaceDN/>
              <w:bidi w:val="0"/>
              <w:adjustRightInd w:val="0"/>
              <w:snapToGrid/>
              <w:spacing w:line="316" w:lineRule="exact"/>
              <w:jc w:val="left"/>
              <w:textAlignment w:val="baseline"/>
              <w:outlineLvl w:val="9"/>
              <w:rPr>
                <w:rFonts w:ascii="宋体" w:hAnsi="宋体" w:cs="宋体"/>
                <w:szCs w:val="21"/>
              </w:rPr>
            </w:pPr>
            <w:r>
              <w:rPr>
                <w:rFonts w:hint="eastAsia" w:ascii="宋体" w:hAnsi="宋体" w:cs="宋体"/>
                <w:szCs w:val="21"/>
              </w:rPr>
              <w:t>防水卷材厚度</w:t>
            </w:r>
          </w:p>
        </w:tc>
        <w:tc>
          <w:tcPr>
            <w:tcW w:w="2259" w:type="dxa"/>
            <w:vAlign w:val="center"/>
          </w:tcPr>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3043-2005预制后张法预应力混凝土铁路桥简支T梁技术条件5.2.2 </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2484-2005预制先张法预应力混凝土铁路桥简支T梁技术条件5.2</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3432-2016高速铁路预制后张法预应力混凝土简支梁5.2.1</w:t>
            </w:r>
          </w:p>
          <w:p>
            <w:pPr>
              <w:keepNext w:val="0"/>
              <w:keepLines w:val="0"/>
              <w:pageBreakBefore w:val="0"/>
              <w:kinsoku/>
              <w:wordWrap/>
              <w:overflowPunct/>
              <w:topLinePunct w:val="0"/>
              <w:autoSpaceDE/>
              <w:autoSpaceDN/>
              <w:bidi w:val="0"/>
              <w:adjustRightInd w:val="0"/>
              <w:snapToGrid/>
              <w:spacing w:line="31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3433-2016高速铁路预制先张法预应力混凝土简支梁5.2.1</w:t>
            </w:r>
          </w:p>
        </w:tc>
        <w:tc>
          <w:tcPr>
            <w:tcW w:w="1695" w:type="dxa"/>
            <w:vAlign w:val="center"/>
          </w:tcPr>
          <w:p>
            <w:pPr>
              <w:keepNext w:val="0"/>
              <w:keepLines w:val="0"/>
              <w:pageBreakBefore w:val="0"/>
              <w:widowControl/>
              <w:kinsoku/>
              <w:wordWrap/>
              <w:overflowPunct/>
              <w:topLinePunct w:val="0"/>
              <w:autoSpaceDE/>
              <w:autoSpaceDN/>
              <w:bidi w:val="0"/>
              <w:snapToGrid/>
              <w:spacing w:line="316" w:lineRule="exact"/>
              <w:jc w:val="center"/>
              <w:outlineLvl w:val="9"/>
              <w:rPr>
                <w:rFonts w:ascii="宋体" w:hAnsi="宋体" w:cs="宋体"/>
                <w:kern w:val="0"/>
                <w:szCs w:val="21"/>
              </w:rPr>
            </w:pPr>
            <w:r>
              <w:rPr>
                <w:rFonts w:hint="eastAsia" w:ascii="宋体" w:hAnsi="宋体" w:cs="宋体"/>
                <w:kern w:val="0"/>
                <w:szCs w:val="21"/>
              </w:rPr>
              <w:t>测厚仪</w:t>
            </w:r>
          </w:p>
        </w:tc>
        <w:tc>
          <w:tcPr>
            <w:tcW w:w="2542" w:type="dxa"/>
            <w:vAlign w:val="center"/>
          </w:tcPr>
          <w:p>
            <w:pPr>
              <w:keepNext w:val="0"/>
              <w:keepLines w:val="0"/>
              <w:pageBreakBefore w:val="0"/>
              <w:widowControl/>
              <w:kinsoku/>
              <w:wordWrap/>
              <w:overflowPunct/>
              <w:topLinePunct w:val="0"/>
              <w:autoSpaceDE/>
              <w:autoSpaceDN/>
              <w:bidi w:val="0"/>
              <w:snapToGrid/>
              <w:spacing w:line="316" w:lineRule="exact"/>
              <w:jc w:val="left"/>
              <w:outlineLvl w:val="9"/>
              <w:rPr>
                <w:rFonts w:ascii="宋体" w:hAnsi="宋体" w:cs="宋体"/>
                <w:kern w:val="0"/>
                <w:szCs w:val="21"/>
              </w:rPr>
            </w:pPr>
            <w:r>
              <w:rPr>
                <w:rFonts w:hint="eastAsia" w:ascii="宋体" w:hAnsi="宋体" w:cs="宋体"/>
                <w:kern w:val="0"/>
                <w:szCs w:val="21"/>
              </w:rPr>
              <w:t>对应所用防水卷材</w:t>
            </w:r>
          </w:p>
        </w:tc>
        <w:tc>
          <w:tcPr>
            <w:tcW w:w="988" w:type="dxa"/>
            <w:vAlign w:val="center"/>
          </w:tcPr>
          <w:p>
            <w:pPr>
              <w:keepNext w:val="0"/>
              <w:keepLines w:val="0"/>
              <w:pageBreakBefore w:val="0"/>
              <w:widowControl/>
              <w:kinsoku/>
              <w:wordWrap/>
              <w:overflowPunct/>
              <w:topLinePunct w:val="0"/>
              <w:autoSpaceDE/>
              <w:autoSpaceDN/>
              <w:bidi w:val="0"/>
              <w:snapToGrid/>
              <w:spacing w:line="316" w:lineRule="exact"/>
              <w:jc w:val="center"/>
              <w:outlineLvl w:val="9"/>
              <w:rPr>
                <w:rFonts w:ascii="宋体" w:hAnsi="宋体" w:cs="宋体"/>
                <w:color w:val="000000"/>
                <w:kern w:val="0"/>
                <w:szCs w:val="21"/>
              </w:rPr>
            </w:pPr>
            <w:r>
              <w:rPr>
                <w:rFonts w:hint="eastAsia" w:ascii="宋体" w:hAnsi="宋体" w:cs="宋体"/>
                <w:color w:val="000000"/>
                <w:kern w:val="0"/>
                <w:szCs w:val="21"/>
              </w:rPr>
              <w:t>防水卷材进场检验用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71</w:t>
            </w:r>
          </w:p>
        </w:tc>
        <w:tc>
          <w:tcPr>
            <w:tcW w:w="1130"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szCs w:val="21"/>
              </w:rPr>
              <w:t>模板尺寸（锚穴角度）</w:t>
            </w:r>
          </w:p>
        </w:tc>
        <w:tc>
          <w:tcPr>
            <w:tcW w:w="2259" w:type="dxa"/>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3043-2005预制后张法预应力混凝土铁路桥简支T梁技术条件5.2.3</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tc>
        <w:tc>
          <w:tcPr>
            <w:tcW w:w="1695" w:type="dxa"/>
            <w:vAlign w:val="center"/>
          </w:tcPr>
          <w:p>
            <w:pPr>
              <w:keepNext w:val="0"/>
              <w:keepLines w:val="0"/>
              <w:pageBreakBefore w:val="0"/>
              <w:widowControl/>
              <w:kinsoku/>
              <w:wordWrap/>
              <w:overflowPunct/>
              <w:topLinePunct w:val="0"/>
              <w:autoSpaceDE/>
              <w:autoSpaceDN/>
              <w:bidi w:val="0"/>
              <w:snapToGrid/>
              <w:spacing w:line="376" w:lineRule="exact"/>
              <w:jc w:val="center"/>
              <w:outlineLvl w:val="9"/>
              <w:rPr>
                <w:rFonts w:ascii="宋体" w:hAnsi="宋体" w:cs="宋体"/>
                <w:kern w:val="0"/>
                <w:szCs w:val="21"/>
              </w:rPr>
            </w:pPr>
            <w:r>
              <w:rPr>
                <w:rFonts w:hint="eastAsia" w:ascii="宋体" w:hAnsi="宋体" w:cs="宋体"/>
                <w:kern w:val="0"/>
                <w:szCs w:val="21"/>
              </w:rPr>
              <w:t>万能角度规</w:t>
            </w:r>
          </w:p>
        </w:tc>
        <w:tc>
          <w:tcPr>
            <w:tcW w:w="2542" w:type="dxa"/>
            <w:vAlign w:val="center"/>
          </w:tcPr>
          <w:p>
            <w:pPr>
              <w:keepNext w:val="0"/>
              <w:keepLines w:val="0"/>
              <w:pageBreakBefore w:val="0"/>
              <w:widowControl/>
              <w:kinsoku/>
              <w:wordWrap/>
              <w:overflowPunct/>
              <w:topLinePunct w:val="0"/>
              <w:autoSpaceDE/>
              <w:autoSpaceDN/>
              <w:bidi w:val="0"/>
              <w:snapToGrid/>
              <w:spacing w:line="376" w:lineRule="exact"/>
              <w:jc w:val="left"/>
              <w:outlineLvl w:val="9"/>
              <w:rPr>
                <w:rFonts w:ascii="宋体" w:hAnsi="宋体" w:cs="宋体"/>
                <w:kern w:val="0"/>
                <w:szCs w:val="21"/>
              </w:rPr>
            </w:pPr>
            <w:r>
              <w:rPr>
                <w:rFonts w:hint="eastAsia" w:ascii="宋体" w:hAnsi="宋体" w:cs="宋体"/>
                <w:kern w:val="0"/>
                <w:szCs w:val="21"/>
              </w:rPr>
              <w:t>测量钢模板锚穴端板角度，分度值</w:t>
            </w:r>
            <w:r>
              <w:rPr>
                <w:rFonts w:ascii="宋体" w:hAnsi="宋体" w:cs="宋体"/>
                <w:kern w:val="0"/>
                <w:szCs w:val="21"/>
              </w:rPr>
              <w:t>2</w:t>
            </w:r>
            <w:r>
              <w:rPr>
                <w:rFonts w:hint="eastAsia" w:ascii="宋体" w:hAnsi="宋体" w:cs="宋体"/>
                <w:kern w:val="0"/>
                <w:szCs w:val="21"/>
              </w:rPr>
              <w:t>′</w:t>
            </w:r>
          </w:p>
        </w:tc>
        <w:tc>
          <w:tcPr>
            <w:tcW w:w="988" w:type="dxa"/>
            <w:vAlign w:val="center"/>
          </w:tcPr>
          <w:p>
            <w:pPr>
              <w:keepNext w:val="0"/>
              <w:keepLines w:val="0"/>
              <w:pageBreakBefore w:val="0"/>
              <w:widowControl/>
              <w:kinsoku/>
              <w:wordWrap/>
              <w:overflowPunct/>
              <w:topLinePunct w:val="0"/>
              <w:autoSpaceDE/>
              <w:autoSpaceDN/>
              <w:bidi w:val="0"/>
              <w:snapToGrid/>
              <w:spacing w:line="376" w:lineRule="exact"/>
              <w:jc w:val="center"/>
              <w:outlineLvl w:val="9"/>
              <w:rPr>
                <w:rFonts w:ascii="宋体" w:hAnsi="宋体" w:cs="宋体"/>
                <w:color w:val="000000"/>
                <w:kern w:val="0"/>
                <w:szCs w:val="21"/>
              </w:rPr>
            </w:pPr>
            <w:r>
              <w:rPr>
                <w:rFonts w:hint="eastAsia" w:ascii="宋体" w:hAnsi="宋体" w:cs="宋体"/>
                <w:color w:val="000000"/>
                <w:kern w:val="0"/>
                <w:szCs w:val="21"/>
              </w:rPr>
              <w:t>后张法梁必备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72</w:t>
            </w:r>
          </w:p>
        </w:tc>
        <w:tc>
          <w:tcPr>
            <w:tcW w:w="1130"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szCs w:val="21"/>
              </w:rPr>
              <w:t>混凝土搅拌配料计量复核</w:t>
            </w:r>
          </w:p>
        </w:tc>
        <w:tc>
          <w:tcPr>
            <w:tcW w:w="2259" w:type="dxa"/>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3043-2005预制后张法预应力混凝土铁路桥简支T梁技术条件3.3.7 </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2484-2005预制先张法预应力混凝土铁路桥简支T梁技术条件3.3.9</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3432-2016高速铁路预制后张法预应力混凝土简支梁3.3.5</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3433-2016高速铁路预制先张法预应力混凝土简支梁3.3.7</w:t>
            </w:r>
          </w:p>
        </w:tc>
        <w:tc>
          <w:tcPr>
            <w:tcW w:w="1695" w:type="dxa"/>
            <w:vAlign w:val="center"/>
          </w:tcPr>
          <w:p>
            <w:pPr>
              <w:keepNext w:val="0"/>
              <w:keepLines w:val="0"/>
              <w:pageBreakBefore w:val="0"/>
              <w:widowControl/>
              <w:kinsoku/>
              <w:wordWrap/>
              <w:overflowPunct/>
              <w:topLinePunct w:val="0"/>
              <w:autoSpaceDE/>
              <w:autoSpaceDN/>
              <w:bidi w:val="0"/>
              <w:snapToGrid/>
              <w:spacing w:line="376" w:lineRule="exact"/>
              <w:jc w:val="center"/>
              <w:outlineLvl w:val="9"/>
              <w:rPr>
                <w:rFonts w:ascii="宋体" w:hAnsi="宋体" w:cs="宋体"/>
                <w:kern w:val="0"/>
                <w:szCs w:val="21"/>
              </w:rPr>
            </w:pPr>
            <w:r>
              <w:rPr>
                <w:rFonts w:hint="eastAsia" w:ascii="宋体" w:hAnsi="宋体" w:cs="宋体"/>
                <w:kern w:val="0"/>
                <w:szCs w:val="21"/>
              </w:rPr>
              <w:t>标准砝码</w:t>
            </w:r>
          </w:p>
        </w:tc>
        <w:tc>
          <w:tcPr>
            <w:tcW w:w="2542" w:type="dxa"/>
            <w:vAlign w:val="center"/>
          </w:tcPr>
          <w:p>
            <w:pPr>
              <w:keepNext w:val="0"/>
              <w:keepLines w:val="0"/>
              <w:pageBreakBefore w:val="0"/>
              <w:widowControl/>
              <w:kinsoku/>
              <w:wordWrap/>
              <w:overflowPunct/>
              <w:topLinePunct w:val="0"/>
              <w:autoSpaceDE/>
              <w:autoSpaceDN/>
              <w:bidi w:val="0"/>
              <w:snapToGrid/>
              <w:spacing w:line="376" w:lineRule="exact"/>
              <w:jc w:val="left"/>
              <w:outlineLvl w:val="9"/>
              <w:rPr>
                <w:rFonts w:ascii="宋体" w:hAnsi="宋体" w:cs="宋体"/>
                <w:kern w:val="0"/>
                <w:szCs w:val="21"/>
              </w:rPr>
            </w:pPr>
            <w:r>
              <w:rPr>
                <w:rFonts w:hint="eastAsia" w:ascii="宋体" w:hAnsi="宋体" w:cs="宋体"/>
                <w:kern w:val="0"/>
                <w:szCs w:val="21"/>
              </w:rPr>
              <w:t>总质量不少于混凝土拌合设备任一配料计量称实际称量</w:t>
            </w:r>
          </w:p>
        </w:tc>
        <w:tc>
          <w:tcPr>
            <w:tcW w:w="988" w:type="dxa"/>
            <w:vAlign w:val="center"/>
          </w:tcPr>
          <w:p>
            <w:pPr>
              <w:keepNext w:val="0"/>
              <w:keepLines w:val="0"/>
              <w:pageBreakBefore w:val="0"/>
              <w:widowControl/>
              <w:kinsoku/>
              <w:wordWrap/>
              <w:overflowPunct/>
              <w:topLinePunct w:val="0"/>
              <w:autoSpaceDE/>
              <w:autoSpaceDN/>
              <w:bidi w:val="0"/>
              <w:snapToGrid/>
              <w:spacing w:line="376" w:lineRule="exact"/>
              <w:jc w:val="center"/>
              <w:outlineLvl w:val="9"/>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73</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szCs w:val="21"/>
              </w:rPr>
              <w:t>混凝土拌合物塌落度、含气量、入模温度、模板温度及拆模温差</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3043-2005预制后张法预应力混凝土铁路桥简支T梁技术条件3.3.7和3.3.8</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2484-2005预制先张法预应力混凝土铁路桥简支T梁技术条件3.3.9和3.3.10</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3433-2016高速铁路预制先张法预应力混凝土简支梁5.3.2</w:t>
            </w:r>
          </w:p>
        </w:tc>
        <w:tc>
          <w:tcPr>
            <w:tcW w:w="1695"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kern w:val="0"/>
                <w:szCs w:val="21"/>
              </w:rPr>
              <w:t>坍落度仪</w:t>
            </w:r>
          </w:p>
        </w:tc>
        <w:tc>
          <w:tcPr>
            <w:tcW w:w="2542"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kern w:val="0"/>
                <w:szCs w:val="21"/>
              </w:rPr>
              <w:t>符合</w:t>
            </w:r>
            <w:r>
              <w:rPr>
                <w:rFonts w:ascii="宋体" w:hAnsi="宋体" w:cs="宋体"/>
                <w:kern w:val="0"/>
                <w:szCs w:val="21"/>
              </w:rPr>
              <w:t>JG3021</w:t>
            </w:r>
            <w:r>
              <w:rPr>
                <w:rFonts w:hint="eastAsia" w:ascii="宋体" w:hAnsi="宋体" w:cs="宋体"/>
                <w:kern w:val="0"/>
                <w:szCs w:val="21"/>
              </w:rPr>
              <w:t>-1994混凝土坍落度仪要求</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szCs w:val="21"/>
              </w:rPr>
              <w:t>含气量测试仪</w:t>
            </w:r>
          </w:p>
        </w:tc>
        <w:tc>
          <w:tcPr>
            <w:tcW w:w="2542"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szCs w:val="21"/>
              </w:rPr>
              <w:t>直读式</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kern w:val="0"/>
                <w:szCs w:val="21"/>
              </w:rPr>
              <w:t>红外测温仪</w:t>
            </w:r>
          </w:p>
        </w:tc>
        <w:tc>
          <w:tcPr>
            <w:tcW w:w="2542"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kern w:val="0"/>
                <w:szCs w:val="21"/>
              </w:rPr>
              <w:t>覆盖</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100</w:t>
            </w:r>
            <w:r>
              <w:rPr>
                <w:rFonts w:hint="eastAsia" w:ascii="宋体" w:hAnsi="宋体" w:cs="宋体"/>
                <w:kern w:val="0"/>
                <w:szCs w:val="21"/>
              </w:rPr>
              <w:t>℃，精度</w:t>
            </w:r>
            <w:r>
              <w:rPr>
                <w:rFonts w:ascii="宋体" w:hAnsi="宋体" w:cs="宋体"/>
                <w:kern w:val="0"/>
                <w:szCs w:val="21"/>
              </w:rPr>
              <w:t>1</w:t>
            </w:r>
            <w:r>
              <w:rPr>
                <w:rFonts w:hint="eastAsia" w:ascii="宋体" w:hAnsi="宋体" w:cs="宋体"/>
                <w:kern w:val="0"/>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r>
              <w:rPr>
                <w:rFonts w:hint="eastAsia" w:ascii="宋体" w:hAnsi="宋体" w:cs="宋体"/>
                <w:kern w:val="0"/>
                <w:szCs w:val="21"/>
              </w:rPr>
              <w:t>测温仪</w:t>
            </w:r>
          </w:p>
        </w:tc>
        <w:tc>
          <w:tcPr>
            <w:tcW w:w="2542" w:type="dxa"/>
            <w:vAlign w:val="center"/>
          </w:tcPr>
          <w:p>
            <w:pPr>
              <w:keepNext w:val="0"/>
              <w:keepLines w:val="0"/>
              <w:pageBreakBefore w:val="0"/>
              <w:kinsoku/>
              <w:wordWrap/>
              <w:overflowPunct/>
              <w:topLinePunct w:val="0"/>
              <w:autoSpaceDE/>
              <w:autoSpaceDN/>
              <w:bidi w:val="0"/>
              <w:adjustRightInd w:val="0"/>
              <w:snapToGrid/>
              <w:spacing w:line="376" w:lineRule="exact"/>
              <w:jc w:val="left"/>
              <w:textAlignment w:val="baseline"/>
              <w:outlineLvl w:val="9"/>
              <w:rPr>
                <w:rFonts w:ascii="宋体" w:hAnsi="宋体" w:cs="宋体"/>
                <w:szCs w:val="21"/>
              </w:rPr>
            </w:pPr>
            <w:r>
              <w:rPr>
                <w:rFonts w:hint="eastAsia" w:ascii="宋体" w:hAnsi="宋体" w:cs="宋体"/>
                <w:kern w:val="0"/>
                <w:szCs w:val="21"/>
              </w:rPr>
              <w:t>可测量混凝土拌合物温度、混凝土芯部温度、表层温度和环境温度，精度</w:t>
            </w:r>
            <w:r>
              <w:rPr>
                <w:rFonts w:ascii="宋体" w:hAnsi="宋体" w:cs="宋体"/>
                <w:kern w:val="0"/>
                <w:szCs w:val="21"/>
              </w:rPr>
              <w:t>1</w:t>
            </w:r>
            <w:r>
              <w:rPr>
                <w:rFonts w:hint="eastAsia" w:ascii="宋体" w:hAnsi="宋体" w:cs="宋体"/>
                <w:kern w:val="0"/>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76"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77</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szCs w:val="21"/>
              </w:rPr>
              <w:t>张拉设备核验</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3043-2005预制后张法预应力混凝土铁路桥简支T梁技术条件3.3.10</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2484-2005预制先张法预应力混凝土铁路桥简支T梁技术条件3.3.8</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3432-2016高速铁路预制后张法预应力混凝土简支梁3.3.10</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3433-2016高速铁路预制先张法预应力混凝土简支梁3.3.6</w:t>
            </w: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标准测力计</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与最大张拉力匹配，误差不超过</w:t>
            </w:r>
            <w:r>
              <w:rPr>
                <w:rFonts w:asciiTheme="minorEastAsia" w:hAnsiTheme="minorEastAsia"/>
                <w:szCs w:val="21"/>
              </w:rPr>
              <w:t>±0.5%</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千斤顶校验装置</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承载能力不低于最大使用力的</w:t>
            </w:r>
            <w:r>
              <w:rPr>
                <w:rFonts w:ascii="宋体" w:hAnsi="宋体" w:cs="宋体"/>
                <w:kern w:val="0"/>
                <w:szCs w:val="21"/>
              </w:rPr>
              <w:t>1.2</w:t>
            </w:r>
            <w:r>
              <w:rPr>
                <w:rFonts w:hint="eastAsia" w:ascii="宋体" w:hAnsi="宋体" w:cs="宋体"/>
                <w:kern w:val="0"/>
                <w:szCs w:val="21"/>
              </w:rPr>
              <w:t>倍</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79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活塞压力计/压力表校验器</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量程</w:t>
            </w:r>
            <w:r>
              <w:rPr>
                <w:rFonts w:ascii="宋体" w:hAnsi="宋体" w:cs="宋体"/>
                <w:kern w:val="0"/>
                <w:szCs w:val="21"/>
              </w:rPr>
              <w:t>60MPa</w:t>
            </w:r>
            <w:r>
              <w:rPr>
                <w:rFonts w:hint="eastAsia" w:ascii="宋体" w:hAnsi="宋体" w:cs="宋体"/>
                <w:kern w:val="0"/>
                <w:szCs w:val="21"/>
              </w:rPr>
              <w:t>，精度不低于</w:t>
            </w:r>
            <w:r>
              <w:rPr>
                <w:rFonts w:ascii="宋体" w:hAnsi="宋体" w:cs="宋体"/>
                <w:kern w:val="0"/>
                <w:szCs w:val="21"/>
              </w:rPr>
              <w:t>0.25</w:t>
            </w:r>
            <w:r>
              <w:rPr>
                <w:rFonts w:hint="eastAsia" w:ascii="宋体" w:hAnsi="宋体" w:cs="宋体"/>
                <w:kern w:val="0"/>
                <w:szCs w:val="21"/>
              </w:rPr>
              <w:t>级</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color w:val="000000"/>
                <w:kern w:val="0"/>
                <w:szCs w:val="21"/>
              </w:rPr>
              <w:t>张拉用油压表时必备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80</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szCs w:val="21"/>
              </w:rPr>
              <w:t>成品梁外形尺寸偏差</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3043-2005预制后张法预应力混凝土铁路桥简支T梁技术条件5.2.4 </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2484-2005预制先张法预应力混凝土铁路桥简支T梁技术条件5.5</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3433-2016高速铁路预制先张法预应力混凝土简支梁5.3.2</w:t>
            </w: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kern w:val="0"/>
                <w:szCs w:val="21"/>
              </w:rPr>
              <w:t>水准仪</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kern w:val="0"/>
                <w:szCs w:val="21"/>
              </w:rPr>
              <w:t>测量精度不低于S3</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81</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kern w:val="0"/>
                <w:szCs w:val="21"/>
              </w:rPr>
              <w:t>跨度样板</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kern w:val="0"/>
                <w:szCs w:val="21"/>
              </w:rPr>
              <w:t>与申请产品对应</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kern w:val="0"/>
                <w:szCs w:val="21"/>
              </w:rPr>
              <w:t>弹簧秤</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ascii="宋体" w:hAnsi="宋体" w:cs="宋体"/>
                <w:kern w:val="0"/>
                <w:szCs w:val="21"/>
              </w:rPr>
              <w:t>200N</w:t>
            </w:r>
            <w:r>
              <w:rPr>
                <w:rFonts w:hint="eastAsia" w:ascii="宋体" w:hAnsi="宋体" w:cs="宋体"/>
                <w:kern w:val="0"/>
                <w:szCs w:val="21"/>
              </w:rPr>
              <w:t>，不低于</w:t>
            </w:r>
            <w:r>
              <w:rPr>
                <w:rFonts w:ascii="宋体" w:hAnsi="宋体" w:cs="宋体"/>
                <w:kern w:val="0"/>
                <w:szCs w:val="21"/>
              </w:rPr>
              <w:t>2</w:t>
            </w:r>
            <w:r>
              <w:rPr>
                <w:rFonts w:hint="eastAsia" w:ascii="宋体" w:hAnsi="宋体" w:cs="宋体"/>
                <w:kern w:val="0"/>
                <w:szCs w:val="21"/>
              </w:rPr>
              <w:t>级</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kern w:val="0"/>
                <w:szCs w:val="21"/>
              </w:rPr>
              <w:t>钢卷尺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ascii="宋体" w:hAnsi="宋体" w:cs="宋体"/>
                <w:kern w:val="0"/>
                <w:szCs w:val="21"/>
              </w:rPr>
              <w:t>50m</w:t>
            </w:r>
            <w:r>
              <w:rPr>
                <w:rFonts w:hint="eastAsia" w:ascii="宋体" w:hAnsi="宋体" w:cs="宋体"/>
                <w:kern w:val="0"/>
                <w:szCs w:val="21"/>
              </w:rPr>
              <w:t>和</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30m</w:t>
            </w:r>
            <w:r>
              <w:rPr>
                <w:rFonts w:hint="eastAsia" w:ascii="宋体" w:hAnsi="宋体" w:cs="宋体"/>
                <w:kern w:val="0"/>
                <w:szCs w:val="21"/>
              </w:rPr>
              <w:t>，并进行平铺、悬空检定</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84</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ascii="宋体" w:hAnsi="宋体" w:cs="宋体"/>
                <w:kern w:val="0"/>
                <w:szCs w:val="21"/>
              </w:rPr>
              <w:t>L</w:t>
            </w:r>
            <w:r>
              <w:rPr>
                <w:rFonts w:hint="eastAsia" w:ascii="宋体" w:hAnsi="宋体" w:cs="宋体"/>
                <w:kern w:val="0"/>
                <w:szCs w:val="21"/>
              </w:rPr>
              <w:t>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kern w:val="0"/>
                <w:szCs w:val="21"/>
              </w:rPr>
              <w:t>不易变形、满足测量腹板倾斜度要求并按实际L尺角度修正测量数据</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ascii="宋体" w:hAnsi="宋体" w:cs="宋体"/>
                <w:kern w:val="0"/>
                <w:szCs w:val="21"/>
              </w:rPr>
              <w:t>U</w:t>
            </w:r>
            <w:r>
              <w:rPr>
                <w:rFonts w:hint="eastAsia" w:ascii="宋体" w:hAnsi="宋体" w:cs="宋体"/>
                <w:kern w:val="0"/>
                <w:szCs w:val="21"/>
              </w:rPr>
              <w:t>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不易变形、满足测量腹板厚度要求并按测量点处的U尺实际宽度修正测量数据</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ascii="宋体" w:hAnsi="宋体" w:cs="宋体"/>
                <w:color w:val="000000"/>
                <w:kern w:val="0"/>
                <w:szCs w:val="21"/>
              </w:rPr>
              <w:t>T</w:t>
            </w:r>
            <w:r>
              <w:rPr>
                <w:rFonts w:hint="eastAsia" w:ascii="宋体" w:hAnsi="宋体" w:cs="宋体"/>
                <w:color w:val="000000"/>
                <w:kern w:val="0"/>
                <w:szCs w:val="21"/>
              </w:rPr>
              <w:t>型梁必备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水平尺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长</w:t>
            </w:r>
            <w:r>
              <w:rPr>
                <w:rFonts w:ascii="宋体" w:hAnsi="宋体" w:cs="宋体"/>
                <w:kern w:val="0"/>
                <w:szCs w:val="21"/>
              </w:rPr>
              <w:t>1m</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340" w:lineRule="exact"/>
              <w:jc w:val="center"/>
              <w:outlineLvl w:val="9"/>
              <w:rPr>
                <w:rFonts w:ascii="宋体" w:hAnsi="宋体" w:cs="宋体"/>
                <w:kern w:val="0"/>
                <w:szCs w:val="21"/>
              </w:rPr>
            </w:pPr>
            <w:r>
              <w:rPr>
                <w:rFonts w:hint="eastAsia" w:ascii="宋体" w:hAnsi="宋体" w:cs="宋体"/>
                <w:kern w:val="0"/>
                <w:szCs w:val="21"/>
              </w:rPr>
              <w:t>塞尺</w:t>
            </w:r>
          </w:p>
        </w:tc>
        <w:tc>
          <w:tcPr>
            <w:tcW w:w="2542" w:type="dxa"/>
            <w:vAlign w:val="center"/>
          </w:tcPr>
          <w:p>
            <w:pPr>
              <w:keepNext w:val="0"/>
              <w:keepLines w:val="0"/>
              <w:pageBreakBefore w:val="0"/>
              <w:widowControl/>
              <w:kinsoku/>
              <w:wordWrap/>
              <w:overflowPunct/>
              <w:topLinePunct w:val="0"/>
              <w:autoSpaceDE/>
              <w:autoSpaceDN/>
              <w:bidi w:val="0"/>
              <w:snapToGrid/>
              <w:spacing w:line="340" w:lineRule="exact"/>
              <w:jc w:val="left"/>
              <w:outlineLvl w:val="9"/>
              <w:rPr>
                <w:rFonts w:ascii="宋体" w:hAnsi="宋体" w:cs="宋体"/>
                <w:kern w:val="0"/>
                <w:szCs w:val="21"/>
              </w:rPr>
            </w:pPr>
            <w:r>
              <w:rPr>
                <w:rFonts w:hint="eastAsia" w:ascii="宋体" w:hAnsi="宋体" w:cs="宋体"/>
                <w:kern w:val="0"/>
                <w:szCs w:val="21"/>
              </w:rPr>
              <w:t>最小分度值不高于</w:t>
            </w:r>
            <w:r>
              <w:rPr>
                <w:rFonts w:ascii="宋体" w:hAnsi="宋体" w:cs="宋体"/>
                <w:kern w:val="0"/>
                <w:szCs w:val="21"/>
              </w:rPr>
              <w:t>0.1mm</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混凝土保护层厚度测试仪</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配钢筋保护层厚度试块比对、修正使用</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89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游标卡尺</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量程</w:t>
            </w:r>
            <w:r>
              <w:rPr>
                <w:rFonts w:ascii="宋体" w:hAnsi="宋体" w:cs="宋体"/>
                <w:kern w:val="0"/>
                <w:szCs w:val="21"/>
              </w:rPr>
              <w:t xml:space="preserve">150mm </w:t>
            </w:r>
            <w:r>
              <w:rPr>
                <w:rFonts w:hint="eastAsia" w:ascii="宋体" w:hAnsi="宋体" w:cs="宋体"/>
                <w:kern w:val="0"/>
                <w:szCs w:val="21"/>
              </w:rPr>
              <w:t>、</w:t>
            </w:r>
            <w:r>
              <w:rPr>
                <w:rFonts w:ascii="宋体" w:hAnsi="宋体" w:cs="宋体"/>
                <w:kern w:val="0"/>
                <w:szCs w:val="21"/>
              </w:rPr>
              <w:t>1000mm</w:t>
            </w:r>
            <w:r>
              <w:rPr>
                <w:rFonts w:hint="eastAsia" w:ascii="宋体" w:hAnsi="宋体" w:cs="宋体"/>
                <w:kern w:val="0"/>
                <w:szCs w:val="21"/>
              </w:rPr>
              <w:t>，分度值</w:t>
            </w:r>
            <w:r>
              <w:rPr>
                <w:rFonts w:ascii="宋体" w:hAnsi="宋体" w:cs="宋体"/>
                <w:kern w:val="0"/>
                <w:szCs w:val="21"/>
              </w:rPr>
              <w:t>0.02mm</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90</w:t>
            </w:r>
          </w:p>
        </w:tc>
        <w:tc>
          <w:tcPr>
            <w:tcW w:w="1130"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szCs w:val="21"/>
              </w:rPr>
            </w:pPr>
            <w:r>
              <w:rPr>
                <w:rFonts w:hint="eastAsia" w:ascii="宋体" w:hAnsi="宋体" w:cs="宋体"/>
                <w:kern w:val="0"/>
                <w:szCs w:val="21"/>
              </w:rPr>
              <w:t>防水层与混凝土粘结强度</w:t>
            </w:r>
          </w:p>
        </w:tc>
        <w:tc>
          <w:tcPr>
            <w:tcW w:w="2259" w:type="dxa"/>
            <w:vAlign w:val="center"/>
          </w:tcPr>
          <w:p>
            <w:pPr>
              <w:keepNext w:val="0"/>
              <w:keepLines w:val="0"/>
              <w:pageBreakBefore w:val="0"/>
              <w:kinsoku/>
              <w:wordWrap/>
              <w:overflowPunct/>
              <w:topLinePunct w:val="0"/>
              <w:autoSpaceDE/>
              <w:autoSpaceDN/>
              <w:bidi w:val="0"/>
              <w:adjustRightInd w:val="0"/>
              <w:snapToGrid/>
              <w:spacing w:line="340" w:lineRule="exact"/>
              <w:textAlignment w:val="baseline"/>
              <w:outlineLvl w:val="9"/>
              <w:rPr>
                <w:rFonts w:ascii="宋体" w:hAnsi="宋体" w:cs="宋体"/>
                <w:szCs w:val="21"/>
              </w:rPr>
            </w:pPr>
            <w:r>
              <w:rPr>
                <w:rFonts w:hint="eastAsia" w:ascii="宋体" w:hAnsi="宋体" w:cs="宋体"/>
                <w:szCs w:val="21"/>
              </w:rPr>
              <w:t>TB/T2965-2011铁路混凝土桥面防水层技术条件6.5</w:t>
            </w:r>
          </w:p>
        </w:tc>
        <w:tc>
          <w:tcPr>
            <w:tcW w:w="1695"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ascii="宋体" w:hAnsi="宋体" w:cs="宋体"/>
                <w:kern w:val="0"/>
                <w:szCs w:val="21"/>
              </w:rPr>
            </w:pPr>
            <w:r>
              <w:rPr>
                <w:rFonts w:hint="eastAsia" w:ascii="宋体" w:hAnsi="宋体" w:cs="宋体"/>
                <w:kern w:val="0"/>
                <w:szCs w:val="21"/>
              </w:rPr>
              <w:t>抗拔仪</w:t>
            </w:r>
          </w:p>
        </w:tc>
        <w:tc>
          <w:tcPr>
            <w:tcW w:w="2542" w:type="dxa"/>
            <w:vAlign w:val="center"/>
          </w:tcPr>
          <w:p>
            <w:pPr>
              <w:keepNext w:val="0"/>
              <w:keepLines w:val="0"/>
              <w:pageBreakBefore w:val="0"/>
              <w:kinsoku/>
              <w:wordWrap/>
              <w:overflowPunct/>
              <w:topLinePunct w:val="0"/>
              <w:autoSpaceDE/>
              <w:autoSpaceDN/>
              <w:bidi w:val="0"/>
              <w:adjustRightInd w:val="0"/>
              <w:snapToGrid/>
              <w:spacing w:line="340" w:lineRule="exact"/>
              <w:jc w:val="left"/>
              <w:textAlignment w:val="baseline"/>
              <w:outlineLvl w:val="9"/>
              <w:rPr>
                <w:rFonts w:ascii="宋体" w:hAnsi="宋体" w:cs="宋体"/>
                <w:kern w:val="0"/>
                <w:szCs w:val="21"/>
              </w:rPr>
            </w:pPr>
            <w:r>
              <w:rPr>
                <w:rFonts w:hint="eastAsia" w:ascii="宋体" w:hAnsi="宋体" w:cs="宋体"/>
                <w:kern w:val="0"/>
                <w:szCs w:val="21"/>
              </w:rPr>
              <w:t>精度</w:t>
            </w:r>
            <w:r>
              <w:rPr>
                <w:rFonts w:ascii="宋体" w:hAnsi="宋体" w:cs="宋体"/>
                <w:kern w:val="0"/>
                <w:szCs w:val="21"/>
              </w:rPr>
              <w:t>1%</w:t>
            </w:r>
          </w:p>
        </w:tc>
        <w:tc>
          <w:tcPr>
            <w:tcW w:w="988" w:type="dxa"/>
            <w:vAlign w:val="center"/>
          </w:tcPr>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hint="eastAsia" w:ascii="宋体" w:hAnsi="宋体" w:cs="宋体"/>
                <w:color w:val="000000"/>
                <w:kern w:val="0"/>
                <w:szCs w:val="21"/>
              </w:rPr>
            </w:pPr>
            <w:r>
              <w:rPr>
                <w:rFonts w:hint="eastAsia" w:ascii="宋体" w:hAnsi="宋体" w:cs="宋体"/>
                <w:color w:val="000000"/>
                <w:kern w:val="0"/>
                <w:szCs w:val="21"/>
              </w:rPr>
              <w:t>桥面保护层混凝土生产时必备</w:t>
            </w:r>
          </w:p>
          <w:p>
            <w:pPr>
              <w:keepNext w:val="0"/>
              <w:keepLines w:val="0"/>
              <w:pageBreakBefore w:val="0"/>
              <w:kinsoku/>
              <w:wordWrap/>
              <w:overflowPunct/>
              <w:topLinePunct w:val="0"/>
              <w:autoSpaceDE/>
              <w:autoSpaceDN/>
              <w:bidi w:val="0"/>
              <w:adjustRightInd w:val="0"/>
              <w:snapToGrid/>
              <w:spacing w:line="340" w:lineRule="exact"/>
              <w:jc w:val="center"/>
              <w:textAlignment w:val="baseline"/>
              <w:outlineLvl w:val="9"/>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91</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混凝土强度及弹性模量</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 xml:space="preserve">TB/T 3043-2005预制后张法预应力混凝土铁路桥简支T梁技术条件5.2.4 </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2484-2005预制先张法预应力混凝土铁路桥简支T梁技术条件5.5</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3433-2016高速铁路预制先张法预应力混凝土简支梁5.3.2</w:t>
            </w: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kern w:val="0"/>
                <w:szCs w:val="21"/>
              </w:rPr>
              <w:t>压力试验机</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kern w:val="0"/>
                <w:szCs w:val="21"/>
              </w:rPr>
              <w:t>量程不低于</w:t>
            </w:r>
            <w:r>
              <w:rPr>
                <w:rFonts w:ascii="宋体" w:hAnsi="宋体" w:cs="宋体"/>
                <w:kern w:val="0"/>
                <w:szCs w:val="21"/>
              </w:rPr>
              <w:t>2000kN</w:t>
            </w:r>
            <w:r>
              <w:rPr>
                <w:rFonts w:hint="eastAsia" w:ascii="宋体" w:hAnsi="宋体" w:cs="宋体"/>
                <w:kern w:val="0"/>
                <w:szCs w:val="21"/>
              </w:rPr>
              <w:t>，精度</w:t>
            </w:r>
            <w:r>
              <w:rPr>
                <w:rFonts w:ascii="宋体" w:hAnsi="宋体" w:cs="宋体"/>
                <w:kern w:val="0"/>
                <w:szCs w:val="21"/>
              </w:rPr>
              <w:t>1</w:t>
            </w:r>
            <w:r>
              <w:rPr>
                <w:rFonts w:hint="eastAsia" w:ascii="宋体" w:hAnsi="宋体" w:cs="宋体"/>
                <w:kern w:val="0"/>
                <w:szCs w:val="21"/>
              </w:rPr>
              <w:t>级</w:t>
            </w:r>
          </w:p>
        </w:tc>
        <w:tc>
          <w:tcPr>
            <w:tcW w:w="988"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92</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混凝土弹模仪</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含变形测试仪表，分度值不高于</w:t>
            </w:r>
            <w:r>
              <w:rPr>
                <w:rFonts w:ascii="宋体" w:hAnsi="宋体" w:cs="宋体"/>
                <w:kern w:val="0"/>
                <w:szCs w:val="21"/>
              </w:rPr>
              <w:t>0.001mm</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93</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kern w:val="0"/>
                <w:szCs w:val="21"/>
              </w:rPr>
              <w:t>标准养护控制仪</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kern w:val="0"/>
                <w:szCs w:val="21"/>
              </w:rPr>
              <w:t>自动控制，相对湿度≥</w:t>
            </w:r>
            <w:r>
              <w:rPr>
                <w:rFonts w:ascii="宋体" w:hAnsi="宋体" w:cs="宋体"/>
                <w:kern w:val="0"/>
                <w:szCs w:val="21"/>
              </w:rPr>
              <w:t>95%</w:t>
            </w:r>
            <w:r>
              <w:rPr>
                <w:rFonts w:hint="eastAsia" w:ascii="宋体" w:hAnsi="宋体" w:cs="宋体"/>
                <w:kern w:val="0"/>
                <w:szCs w:val="21"/>
              </w:rPr>
              <w:t>，温度</w:t>
            </w:r>
            <w:r>
              <w:rPr>
                <w:rFonts w:ascii="宋体" w:hAnsi="宋体" w:cs="宋体"/>
                <w:kern w:val="0"/>
                <w:szCs w:val="21"/>
              </w:rPr>
              <w:t>20</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p>
        </w:tc>
        <w:tc>
          <w:tcPr>
            <w:tcW w:w="988"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94</w:t>
            </w:r>
          </w:p>
        </w:tc>
        <w:tc>
          <w:tcPr>
            <w:tcW w:w="1130" w:type="dxa"/>
            <w:vMerge w:val="restart"/>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szCs w:val="21"/>
              </w:rPr>
              <w:t>成品梁静载试验</w:t>
            </w:r>
          </w:p>
        </w:tc>
        <w:tc>
          <w:tcPr>
            <w:tcW w:w="2259" w:type="dxa"/>
            <w:vMerge w:val="restart"/>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3043-2005预制后张法预应力混凝土铁路桥简支T梁技术条件5.2.4</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2484-2005预制先张法预应力混凝土铁路桥简支T梁技术条件5.5</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3432-2016高速铁路预制后张法预应力混凝土简支梁5.3.2</w:t>
            </w:r>
          </w:p>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r>
              <w:rPr>
                <w:rFonts w:hint="eastAsia" w:ascii="宋体" w:hAnsi="宋体" w:cs="宋体"/>
                <w:szCs w:val="21"/>
              </w:rPr>
              <w:t>TB/T 3433-2016高速铁路预制先张法预应力混凝土简支梁5.3.2</w:t>
            </w: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kern w:val="0"/>
                <w:szCs w:val="21"/>
              </w:rPr>
              <w:t>静载试验装置</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r>
              <w:rPr>
                <w:rFonts w:hint="eastAsia" w:ascii="宋体" w:hAnsi="宋体" w:cs="宋体"/>
                <w:kern w:val="0"/>
                <w:szCs w:val="21"/>
              </w:rPr>
              <w:t>含试验台座、加载设备、测量设备、反力架，整体工作能力不低于试验最大荷载</w:t>
            </w:r>
            <w:r>
              <w:rPr>
                <w:rFonts w:ascii="宋体" w:hAnsi="宋体" w:cs="宋体"/>
                <w:kern w:val="0"/>
                <w:szCs w:val="21"/>
              </w:rPr>
              <w:t>1.2</w:t>
            </w:r>
            <w:r>
              <w:rPr>
                <w:rFonts w:hint="eastAsia" w:ascii="宋体" w:hAnsi="宋体" w:cs="宋体"/>
                <w:kern w:val="0"/>
                <w:szCs w:val="21"/>
              </w:rPr>
              <w:t>倍</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r>
              <w:rPr>
                <w:rFonts w:hint="eastAsia" w:ascii="宋体" w:hAnsi="宋体" w:cs="宋体"/>
                <w:kern w:val="0"/>
                <w:szCs w:val="21"/>
              </w:rPr>
              <w:t>可共用或租赁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95</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位移计</w:t>
            </w:r>
            <w:r>
              <w:rPr>
                <w:rFonts w:ascii="宋体" w:hAnsi="宋体" w:cs="宋体"/>
                <w:kern w:val="0"/>
                <w:szCs w:val="21"/>
              </w:rPr>
              <w:t>/</w:t>
            </w:r>
            <w:r>
              <w:rPr>
                <w:rFonts w:hint="eastAsia" w:ascii="宋体" w:hAnsi="宋体" w:cs="宋体"/>
                <w:kern w:val="0"/>
                <w:szCs w:val="21"/>
              </w:rPr>
              <w:t>百分表</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量程不低于</w:t>
            </w:r>
            <w:r>
              <w:rPr>
                <w:rFonts w:ascii="宋体" w:hAnsi="宋体" w:cs="宋体"/>
                <w:kern w:val="0"/>
                <w:szCs w:val="21"/>
              </w:rPr>
              <w:t>30mm</w:t>
            </w:r>
            <w:r>
              <w:rPr>
                <w:rFonts w:hint="eastAsia" w:ascii="宋体" w:hAnsi="宋体" w:cs="宋体"/>
                <w:kern w:val="0"/>
                <w:szCs w:val="21"/>
              </w:rPr>
              <w:t>，分度值</w:t>
            </w:r>
            <w:r>
              <w:rPr>
                <w:rFonts w:ascii="宋体" w:hAnsi="宋体" w:cs="宋体"/>
                <w:kern w:val="0"/>
                <w:szCs w:val="21"/>
              </w:rPr>
              <w:t>0.01mm</w:t>
            </w:r>
            <w:r>
              <w:rPr>
                <w:rFonts w:hint="eastAsia" w:ascii="宋体" w:hAnsi="宋体" w:cs="宋体"/>
                <w:kern w:val="0"/>
                <w:szCs w:val="21"/>
              </w:rPr>
              <w:t>，不少于</w:t>
            </w:r>
            <w:r>
              <w:rPr>
                <w:rFonts w:ascii="宋体" w:hAnsi="宋体" w:cs="宋体"/>
                <w:kern w:val="0"/>
                <w:szCs w:val="21"/>
              </w:rPr>
              <w:t>8</w:t>
            </w:r>
            <w:r>
              <w:rPr>
                <w:rFonts w:hint="eastAsia" w:ascii="宋体" w:hAnsi="宋体" w:cs="宋体"/>
                <w:kern w:val="0"/>
                <w:szCs w:val="21"/>
              </w:rPr>
              <w:t>个</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非自动加载时必备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96</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压力表</w:t>
            </w:r>
            <w:r>
              <w:rPr>
                <w:rFonts w:ascii="宋体" w:hAnsi="宋体" w:cs="宋体"/>
                <w:kern w:val="0"/>
                <w:szCs w:val="21"/>
              </w:rPr>
              <w:t>/</w:t>
            </w:r>
            <w:r>
              <w:rPr>
                <w:rFonts w:hint="eastAsia" w:ascii="宋体" w:hAnsi="宋体" w:cs="宋体"/>
                <w:kern w:val="0"/>
                <w:szCs w:val="21"/>
              </w:rPr>
              <w:t>传感器</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成品梁静载试验用，抗震压力表不低于</w:t>
            </w:r>
            <w:r>
              <w:rPr>
                <w:rFonts w:ascii="宋体" w:hAnsi="宋体" w:cs="宋体"/>
                <w:kern w:val="0"/>
                <w:szCs w:val="21"/>
              </w:rPr>
              <w:t>0.4</w:t>
            </w:r>
            <w:r>
              <w:rPr>
                <w:rFonts w:hint="eastAsia" w:ascii="宋体" w:hAnsi="宋体" w:cs="宋体"/>
                <w:kern w:val="0"/>
                <w:szCs w:val="21"/>
              </w:rPr>
              <w:t>级，分度值不大于</w:t>
            </w:r>
            <w:r>
              <w:rPr>
                <w:rFonts w:ascii="宋体" w:hAnsi="宋体" w:cs="宋体"/>
                <w:kern w:val="0"/>
                <w:szCs w:val="21"/>
              </w:rPr>
              <w:t>0.2MPa/</w:t>
            </w:r>
            <w:r>
              <w:rPr>
                <w:rFonts w:hint="eastAsia" w:ascii="宋体" w:hAnsi="宋体" w:cs="宋体"/>
                <w:kern w:val="0"/>
                <w:szCs w:val="21"/>
              </w:rPr>
              <w:t>传感器误差不超过</w:t>
            </w:r>
            <w:r>
              <w:rPr>
                <w:rFonts w:ascii="宋体" w:hAnsi="宋体" w:cs="宋体"/>
                <w:kern w:val="0"/>
                <w:szCs w:val="21"/>
              </w:rPr>
              <w:t>1.0%</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非自动加载时必备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97</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千斤顶校验装置</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承载能力不低于最大使用力的</w:t>
            </w:r>
            <w:r>
              <w:rPr>
                <w:rFonts w:ascii="宋体" w:hAnsi="宋体" w:cs="宋体"/>
                <w:kern w:val="0"/>
                <w:szCs w:val="21"/>
              </w:rPr>
              <w:t>1.2</w:t>
            </w:r>
            <w:r>
              <w:rPr>
                <w:rFonts w:hint="eastAsia" w:ascii="宋体" w:hAnsi="宋体" w:cs="宋体"/>
                <w:kern w:val="0"/>
                <w:szCs w:val="21"/>
              </w:rPr>
              <w:t>倍</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98</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widowControl/>
              <w:kinsoku/>
              <w:wordWrap/>
              <w:overflowPunct/>
              <w:topLinePunct w:val="0"/>
              <w:autoSpaceDE/>
              <w:autoSpaceDN/>
              <w:bidi w:val="0"/>
              <w:snapToGrid/>
              <w:spacing w:line="360" w:lineRule="exact"/>
              <w:jc w:val="center"/>
              <w:outlineLvl w:val="9"/>
              <w:rPr>
                <w:rFonts w:ascii="宋体" w:hAnsi="宋体" w:cs="宋体"/>
                <w:kern w:val="0"/>
                <w:szCs w:val="21"/>
              </w:rPr>
            </w:pPr>
            <w:r>
              <w:rPr>
                <w:rFonts w:hint="eastAsia" w:ascii="宋体" w:hAnsi="宋体" w:cs="宋体"/>
                <w:kern w:val="0"/>
                <w:szCs w:val="21"/>
              </w:rPr>
              <w:t>测力环</w:t>
            </w:r>
          </w:p>
        </w:tc>
        <w:tc>
          <w:tcPr>
            <w:tcW w:w="2542" w:type="dxa"/>
            <w:vAlign w:val="center"/>
          </w:tcPr>
          <w:p>
            <w:pPr>
              <w:keepNext w:val="0"/>
              <w:keepLines w:val="0"/>
              <w:pageBreakBefore w:val="0"/>
              <w:widowControl/>
              <w:kinsoku/>
              <w:wordWrap/>
              <w:overflowPunct/>
              <w:topLinePunct w:val="0"/>
              <w:autoSpaceDE/>
              <w:autoSpaceDN/>
              <w:bidi w:val="0"/>
              <w:snapToGrid/>
              <w:spacing w:line="360" w:lineRule="exact"/>
              <w:jc w:val="left"/>
              <w:outlineLvl w:val="9"/>
              <w:rPr>
                <w:rFonts w:ascii="宋体" w:hAnsi="宋体" w:cs="宋体"/>
                <w:kern w:val="0"/>
                <w:szCs w:val="21"/>
              </w:rPr>
            </w:pPr>
            <w:r>
              <w:rPr>
                <w:rFonts w:ascii="宋体" w:hAnsi="宋体" w:cs="宋体"/>
                <w:kern w:val="0"/>
                <w:szCs w:val="21"/>
              </w:rPr>
              <w:t>0.3</w:t>
            </w:r>
            <w:r>
              <w:rPr>
                <w:rFonts w:hint="eastAsia" w:ascii="宋体" w:hAnsi="宋体" w:cs="宋体"/>
                <w:kern w:val="0"/>
                <w:szCs w:val="21"/>
              </w:rPr>
              <w:t>级</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99</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裂缝观测仪</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分辨率</w:t>
            </w:r>
            <w:r>
              <w:rPr>
                <w:rFonts w:ascii="宋体" w:hAnsi="宋体" w:cs="宋体"/>
                <w:kern w:val="0"/>
                <w:szCs w:val="21"/>
              </w:rPr>
              <w:t>0.0</w:t>
            </w:r>
            <w:r>
              <w:rPr>
                <w:rFonts w:hint="eastAsia" w:ascii="宋体" w:hAnsi="宋体" w:cs="宋体"/>
                <w:kern w:val="0"/>
                <w:szCs w:val="21"/>
              </w:rPr>
              <w:t>2</w:t>
            </w:r>
            <w:r>
              <w:rPr>
                <w:rFonts w:ascii="宋体" w:hAnsi="宋体" w:cs="宋体"/>
                <w:kern w:val="0"/>
                <w:szCs w:val="21"/>
              </w:rPr>
              <w:t>mm</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2"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cs="宋体" w:asciiTheme="minorEastAsia" w:hAnsiTheme="minorEastAsia" w:eastAsiaTheme="minorEastAsia"/>
                <w:szCs w:val="21"/>
              </w:rPr>
            </w:pPr>
            <w:r>
              <w:rPr>
                <w:rFonts w:hint="eastAsia" w:cs="宋体" w:asciiTheme="minorEastAsia" w:hAnsiTheme="minorEastAsia" w:eastAsiaTheme="minorEastAsia"/>
                <w:szCs w:val="21"/>
              </w:rPr>
              <w:t>100</w:t>
            </w:r>
          </w:p>
        </w:tc>
        <w:tc>
          <w:tcPr>
            <w:tcW w:w="1130"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szCs w:val="21"/>
              </w:rPr>
            </w:pPr>
          </w:p>
        </w:tc>
        <w:tc>
          <w:tcPr>
            <w:tcW w:w="2259" w:type="dxa"/>
            <w:vMerge w:val="continue"/>
            <w:vAlign w:val="center"/>
          </w:tcPr>
          <w:p>
            <w:pPr>
              <w:keepNext w:val="0"/>
              <w:keepLines w:val="0"/>
              <w:pageBreakBefore w:val="0"/>
              <w:kinsoku/>
              <w:wordWrap/>
              <w:overflowPunct/>
              <w:topLinePunct w:val="0"/>
              <w:autoSpaceDE/>
              <w:autoSpaceDN/>
              <w:bidi w:val="0"/>
              <w:adjustRightInd w:val="0"/>
              <w:snapToGrid/>
              <w:spacing w:line="360" w:lineRule="exact"/>
              <w:textAlignment w:val="baseline"/>
              <w:outlineLvl w:val="9"/>
              <w:rPr>
                <w:rFonts w:ascii="宋体" w:hAnsi="宋体" w:cs="宋体"/>
                <w:szCs w:val="21"/>
              </w:rPr>
            </w:pPr>
          </w:p>
        </w:tc>
        <w:tc>
          <w:tcPr>
            <w:tcW w:w="1695"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扭矩扳手</w:t>
            </w:r>
          </w:p>
        </w:tc>
        <w:tc>
          <w:tcPr>
            <w:tcW w:w="2542" w:type="dxa"/>
            <w:vAlign w:val="center"/>
          </w:tcPr>
          <w:p>
            <w:pPr>
              <w:keepNext w:val="0"/>
              <w:keepLines w:val="0"/>
              <w:pageBreakBefore w:val="0"/>
              <w:kinsoku/>
              <w:wordWrap/>
              <w:overflowPunct/>
              <w:topLinePunct w:val="0"/>
              <w:autoSpaceDE/>
              <w:autoSpaceDN/>
              <w:bidi w:val="0"/>
              <w:adjustRightInd w:val="0"/>
              <w:snapToGrid/>
              <w:spacing w:line="360" w:lineRule="exact"/>
              <w:jc w:val="left"/>
              <w:textAlignment w:val="baseline"/>
              <w:outlineLvl w:val="9"/>
              <w:rPr>
                <w:rFonts w:ascii="宋体" w:hAnsi="宋体" w:cs="宋体"/>
                <w:kern w:val="0"/>
                <w:szCs w:val="21"/>
              </w:rPr>
            </w:pPr>
            <w:r>
              <w:rPr>
                <w:rFonts w:hint="eastAsia" w:ascii="宋体" w:hAnsi="宋体" w:cs="宋体"/>
                <w:kern w:val="0"/>
                <w:szCs w:val="21"/>
              </w:rPr>
              <w:t>力矩不低于使用要求</w:t>
            </w:r>
          </w:p>
        </w:tc>
        <w:tc>
          <w:tcPr>
            <w:tcW w:w="988" w:type="dxa"/>
            <w:vAlign w:val="center"/>
          </w:tcPr>
          <w:p>
            <w:pPr>
              <w:keepNext w:val="0"/>
              <w:keepLines w:val="0"/>
              <w:pageBreakBefore w:val="0"/>
              <w:kinsoku/>
              <w:wordWrap/>
              <w:overflowPunct/>
              <w:topLinePunct w:val="0"/>
              <w:autoSpaceDE/>
              <w:autoSpaceDN/>
              <w:bidi w:val="0"/>
              <w:adjustRightInd w:val="0"/>
              <w:snapToGrid/>
              <w:spacing w:line="360" w:lineRule="exact"/>
              <w:jc w:val="center"/>
              <w:textAlignment w:val="baseline"/>
              <w:outlineLvl w:val="9"/>
              <w:rPr>
                <w:rFonts w:ascii="宋体" w:hAnsi="宋体" w:cs="宋体"/>
                <w:kern w:val="0"/>
                <w:szCs w:val="21"/>
              </w:rPr>
            </w:pPr>
            <w:r>
              <w:rPr>
                <w:rFonts w:hint="eastAsia" w:ascii="宋体" w:hAnsi="宋体" w:cs="宋体"/>
                <w:kern w:val="0"/>
                <w:szCs w:val="21"/>
              </w:rPr>
              <w:t>/</w:t>
            </w:r>
          </w:p>
        </w:tc>
      </w:tr>
    </w:tbl>
    <w:p>
      <w:pPr>
        <w:pStyle w:val="40"/>
        <w:spacing w:line="360" w:lineRule="auto"/>
        <w:ind w:firstLineChars="0"/>
        <w:rPr>
          <w:rFonts w:ascii="宋体" w:hAnsi="宋体"/>
          <w:iCs/>
          <w:kern w:val="0"/>
        </w:rPr>
      </w:pPr>
      <w:r>
        <w:rPr>
          <w:rFonts w:hint="eastAsia" w:ascii="宋体" w:hAnsi="宋体"/>
          <w:iCs/>
          <w:kern w:val="0"/>
        </w:rPr>
        <w:t>注：1.本表为企业应具备的检验设备，可与上述设备名称不同，但应满足上述设备的功能性能精度要求。</w:t>
      </w:r>
    </w:p>
    <w:p>
      <w:pPr>
        <w:pStyle w:val="40"/>
        <w:spacing w:line="360" w:lineRule="auto"/>
        <w:ind w:firstLine="840" w:firstLineChars="400"/>
        <w:rPr>
          <w:rFonts w:ascii="宋体" w:hAnsi="宋体"/>
          <w:iCs/>
          <w:kern w:val="0"/>
        </w:rPr>
      </w:pPr>
      <w:r>
        <w:rPr>
          <w:rFonts w:hint="eastAsia" w:ascii="宋体" w:hAnsi="宋体"/>
          <w:iCs/>
          <w:kern w:val="0"/>
        </w:rPr>
        <w:t>2.“备注”栏中注明必备条件的仪器设备，不适用时可不具备。</w:t>
      </w:r>
    </w:p>
    <w:p>
      <w:pPr>
        <w:pStyle w:val="40"/>
        <w:spacing w:line="360" w:lineRule="auto"/>
        <w:ind w:firstLine="840" w:firstLineChars="400"/>
        <w:rPr>
          <w:rFonts w:ascii="宋体" w:hAnsi="宋体"/>
          <w:iCs/>
          <w:kern w:val="0"/>
        </w:rPr>
      </w:pPr>
      <w:r>
        <w:rPr>
          <w:rFonts w:hint="eastAsia" w:asciiTheme="minorEastAsia" w:hAnsiTheme="minorEastAsia"/>
          <w:bCs/>
        </w:rPr>
        <w:t>3.精度高且量程大的</w:t>
      </w:r>
      <w:r>
        <w:rPr>
          <w:rFonts w:hint="eastAsia" w:ascii="宋体" w:hAnsi="宋体" w:cs="宋体"/>
          <w:kern w:val="0"/>
        </w:rPr>
        <w:t>电子天平</w:t>
      </w:r>
      <w:r>
        <w:rPr>
          <w:rFonts w:ascii="宋体" w:hAnsi="宋体" w:cs="宋体"/>
          <w:kern w:val="0"/>
        </w:rPr>
        <w:t>/</w:t>
      </w:r>
      <w:r>
        <w:rPr>
          <w:rFonts w:hint="eastAsia" w:ascii="宋体" w:hAnsi="宋体" w:cs="宋体"/>
          <w:kern w:val="0"/>
        </w:rPr>
        <w:t>台秤</w:t>
      </w:r>
      <w:r>
        <w:rPr>
          <w:rFonts w:hint="eastAsia" w:asciiTheme="minorEastAsia" w:hAnsiTheme="minorEastAsia"/>
          <w:bCs/>
        </w:rPr>
        <w:t>可代替精度低且量程小的</w:t>
      </w:r>
      <w:r>
        <w:rPr>
          <w:rFonts w:hint="eastAsia" w:ascii="宋体" w:hAnsi="宋体" w:cs="宋体"/>
          <w:kern w:val="0"/>
        </w:rPr>
        <w:t>电子天平</w:t>
      </w:r>
      <w:r>
        <w:rPr>
          <w:rFonts w:ascii="宋体" w:hAnsi="宋体" w:cs="宋体"/>
          <w:kern w:val="0"/>
        </w:rPr>
        <w:t>/</w:t>
      </w:r>
      <w:r>
        <w:rPr>
          <w:rFonts w:hint="eastAsia" w:ascii="宋体" w:hAnsi="宋体" w:cs="宋体"/>
          <w:kern w:val="0"/>
        </w:rPr>
        <w:t>台秤</w:t>
      </w:r>
    </w:p>
    <w:p>
      <w:pPr>
        <w:pStyle w:val="40"/>
        <w:spacing w:line="360" w:lineRule="auto"/>
        <w:ind w:firstLine="840" w:firstLineChars="400"/>
        <w:rPr>
          <w:rFonts w:ascii="宋体" w:hAnsi="宋体"/>
          <w:iCs/>
          <w:kern w:val="0"/>
        </w:rPr>
      </w:pPr>
      <w:r>
        <w:rPr>
          <w:rFonts w:hint="eastAsia" w:ascii="宋体" w:hAnsi="宋体"/>
          <w:iCs/>
          <w:kern w:val="0"/>
        </w:rPr>
        <w:t>4.可租赁的检验设备，租赁时间须满足生产许可证发证周期的要求。</w:t>
      </w:r>
    </w:p>
    <w:p>
      <w:pPr>
        <w:spacing w:line="360" w:lineRule="auto"/>
        <w:jc w:val="center"/>
        <w:rPr>
          <w:rFonts w:ascii="宋体" w:hAnsi="宋体"/>
          <w:b/>
          <w:color w:val="000000"/>
        </w:rPr>
      </w:pPr>
    </w:p>
    <w:p>
      <w:pPr>
        <w:spacing w:line="360" w:lineRule="auto"/>
        <w:jc w:val="center"/>
        <w:rPr>
          <w:rFonts w:ascii="宋体" w:hAnsi="宋体"/>
          <w:b/>
          <w:color w:val="000000"/>
        </w:rPr>
      </w:pPr>
      <w:r>
        <w:rPr>
          <w:rFonts w:hint="eastAsia" w:ascii="宋体" w:hAnsi="宋体"/>
          <w:b/>
          <w:color w:val="000000"/>
        </w:rPr>
        <w:t>表3-4 企业生产</w:t>
      </w:r>
      <w:r>
        <w:rPr>
          <w:rFonts w:hint="eastAsia" w:ascii="宋体" w:hAnsi="宋体"/>
          <w:b/>
        </w:rPr>
        <w:t>预应力混凝土铁路桥简支梁</w:t>
      </w:r>
      <w:r>
        <w:rPr>
          <w:rFonts w:hint="eastAsia" w:ascii="宋体" w:hAnsi="宋体"/>
          <w:b/>
          <w:color w:val="000000"/>
        </w:rPr>
        <w:t>产品重要原材料</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07"/>
        <w:gridCol w:w="3414"/>
        <w:gridCol w:w="4500"/>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blHeader/>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b/>
                <w:color w:val="000000"/>
              </w:rPr>
            </w:pPr>
            <w:r>
              <w:rPr>
                <w:rFonts w:hint="eastAsia" w:ascii="宋体" w:hAnsi="宋体"/>
                <w:b/>
                <w:color w:val="000000"/>
              </w:rPr>
              <w:t>序号</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b/>
                <w:color w:val="000000"/>
              </w:rPr>
            </w:pPr>
            <w:r>
              <w:rPr>
                <w:rFonts w:hint="eastAsia" w:ascii="宋体" w:hAnsi="宋体"/>
                <w:b/>
                <w:color w:val="000000"/>
              </w:rPr>
              <w:t>重要原材料名称</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b/>
                <w:color w:val="000000"/>
              </w:rPr>
            </w:pPr>
            <w:r>
              <w:rPr>
                <w:rFonts w:hint="eastAsia" w:ascii="宋体" w:hAnsi="宋体"/>
                <w:b/>
                <w:color w:val="000000"/>
              </w:rPr>
              <w:t>依据标准或主要技术要求</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b/>
                <w:color w:val="000000"/>
              </w:rPr>
            </w:pPr>
            <w:r>
              <w:rPr>
                <w:rFonts w:hint="eastAsia" w:ascii="宋体"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1</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水泥</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2</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河砂</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3</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碎石</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4</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掺合料（粉煤灰、矿粉）</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5</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外加剂（减水剂、引气剂）</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TB/T3275-2011</w:t>
            </w:r>
            <w:r>
              <w:rPr>
                <w:rFonts w:hint="eastAsia" w:ascii="宋体" w:hAnsi="宋体" w:cs="宋体"/>
                <w:kern w:val="0"/>
                <w:szCs w:val="21"/>
              </w:rPr>
              <w:t>铁路混凝土</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6</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钢筋</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GB/T1499.1-2017</w:t>
            </w:r>
            <w:r>
              <w:rPr>
                <w:rFonts w:hint="eastAsia" w:ascii="宋体" w:hAnsi="宋体" w:cs="宋体"/>
                <w:kern w:val="0"/>
                <w:szCs w:val="21"/>
              </w:rPr>
              <w:t>钢筋混凝土用钢</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部分</w:t>
            </w:r>
            <w:r>
              <w:rPr>
                <w:rFonts w:ascii="宋体" w:hAnsi="宋体" w:cs="宋体"/>
                <w:kern w:val="0"/>
                <w:szCs w:val="21"/>
              </w:rPr>
              <w:t>:</w:t>
            </w:r>
            <w:r>
              <w:rPr>
                <w:rFonts w:hint="eastAsia" w:ascii="宋体" w:hAnsi="宋体" w:cs="宋体"/>
                <w:kern w:val="0"/>
                <w:szCs w:val="21"/>
              </w:rPr>
              <w:t>热轧光圆钢筋</w:t>
            </w:r>
            <w:r>
              <w:rPr>
                <w:rFonts w:hint="eastAsia" w:ascii="宋体" w:hAnsi="宋体"/>
              </w:rPr>
              <w:t>、GB/T1499.2-2018</w:t>
            </w:r>
            <w:r>
              <w:rPr>
                <w:rFonts w:hint="eastAsia" w:ascii="宋体" w:hAnsi="宋体" w:cs="宋体"/>
                <w:kern w:val="0"/>
                <w:szCs w:val="21"/>
              </w:rPr>
              <w:t>钢筋混凝土用钢</w:t>
            </w:r>
            <w:r>
              <w:rPr>
                <w:rFonts w:ascii="宋体" w:hAnsi="宋体" w:cs="宋体"/>
                <w:kern w:val="0"/>
                <w:szCs w:val="21"/>
              </w:rPr>
              <w:t xml:space="preserve">  </w:t>
            </w:r>
            <w:r>
              <w:rPr>
                <w:rFonts w:hint="eastAsia" w:ascii="宋体" w:hAnsi="宋体" w:cs="宋体"/>
                <w:kern w:val="0"/>
                <w:szCs w:val="21"/>
              </w:rPr>
              <w:t>第</w:t>
            </w:r>
            <w:r>
              <w:rPr>
                <w:rFonts w:ascii="宋体" w:hAnsi="宋体" w:cs="宋体"/>
                <w:kern w:val="0"/>
                <w:szCs w:val="21"/>
              </w:rPr>
              <w:t>2</w:t>
            </w:r>
            <w:r>
              <w:rPr>
                <w:rFonts w:hint="eastAsia" w:ascii="宋体" w:hAnsi="宋体" w:cs="宋体"/>
                <w:kern w:val="0"/>
                <w:szCs w:val="21"/>
              </w:rPr>
              <w:t>部分</w:t>
            </w:r>
            <w:r>
              <w:rPr>
                <w:rFonts w:ascii="宋体" w:hAnsi="宋体" w:cs="宋体"/>
                <w:kern w:val="0"/>
                <w:szCs w:val="21"/>
              </w:rPr>
              <w:t>:</w:t>
            </w:r>
            <w:r>
              <w:rPr>
                <w:rFonts w:hint="eastAsia" w:ascii="宋体" w:hAnsi="宋体" w:cs="宋体"/>
                <w:kern w:val="0"/>
                <w:szCs w:val="21"/>
              </w:rPr>
              <w:t>热轧带肋钢筋</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7</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钢绞线</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GB/T5224-2014</w:t>
            </w:r>
            <w:r>
              <w:rPr>
                <w:rFonts w:hint="eastAsia" w:ascii="宋体" w:hAnsi="宋体" w:cs="宋体"/>
                <w:kern w:val="0"/>
                <w:szCs w:val="21"/>
              </w:rPr>
              <w:t>预应力混凝土用钢绞线</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8</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锚具</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TB/T3193-2016</w:t>
            </w:r>
            <w:r>
              <w:rPr>
                <w:rFonts w:hint="eastAsia" w:ascii="宋体" w:hAnsi="宋体" w:cs="宋体"/>
                <w:kern w:val="0"/>
                <w:szCs w:val="21"/>
              </w:rPr>
              <w:t>铁路工程预应力筋夹片式锚具、夹具和连接器技术条件</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hint="eastAsia" w:ascii="宋体" w:hAnsi="宋体"/>
              </w:rPr>
            </w:pPr>
            <w:r>
              <w:rPr>
                <w:rFonts w:hint="eastAsia" w:ascii="宋体" w:hAnsi="宋体"/>
              </w:rPr>
              <w:t>先张梁</w:t>
            </w:r>
          </w:p>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9</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压浆剂/压浆料</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Q/CR409-2017铁路后张法预应力混凝土梁管道压浆技术条件</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hint="eastAsia" w:ascii="宋体" w:hAnsi="宋体"/>
              </w:rPr>
            </w:pPr>
            <w:r>
              <w:rPr>
                <w:rFonts w:hint="eastAsia" w:ascii="宋体" w:hAnsi="宋体"/>
              </w:rPr>
              <w:t>先张梁</w:t>
            </w:r>
          </w:p>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10</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金属预埋件（T钢、预埋支座板、预埋接触网螺栓、预埋防落梁板等）</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TB/T3274-2011</w:t>
            </w:r>
            <w:r>
              <w:rPr>
                <w:rFonts w:hint="eastAsia" w:ascii="宋体" w:hAnsi="宋体" w:cs="宋体"/>
                <w:kern w:val="0"/>
                <w:szCs w:val="21"/>
              </w:rPr>
              <w:t>铁路混凝土梁配件多元合金共渗防腐技术条件，</w:t>
            </w:r>
            <w:r>
              <w:rPr>
                <w:rFonts w:hint="eastAsia" w:ascii="宋体" w:hAnsi="宋体"/>
              </w:rPr>
              <w:t>及设计要求</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407"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11</w:t>
            </w:r>
          </w:p>
        </w:tc>
        <w:tc>
          <w:tcPr>
            <w:tcW w:w="3414"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防水材料</w:t>
            </w:r>
          </w:p>
        </w:tc>
        <w:tc>
          <w:tcPr>
            <w:tcW w:w="4500"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line="320" w:lineRule="exact"/>
              <w:jc w:val="center"/>
              <w:textAlignment w:val="baseline"/>
              <w:outlineLvl w:val="9"/>
              <w:rPr>
                <w:rFonts w:ascii="宋体" w:hAnsi="宋体"/>
              </w:rPr>
            </w:pPr>
            <w:r>
              <w:rPr>
                <w:rFonts w:hint="eastAsia" w:ascii="宋体" w:hAnsi="宋体"/>
              </w:rPr>
              <w:t>TB/T2965-2011</w:t>
            </w:r>
            <w:r>
              <w:rPr>
                <w:rFonts w:hint="eastAsia" w:ascii="宋体" w:hAnsi="宋体" w:cs="宋体"/>
                <w:kern w:val="0"/>
                <w:szCs w:val="21"/>
              </w:rPr>
              <w:t>铁路混凝土桥面防水层技术条件</w:t>
            </w:r>
          </w:p>
        </w:tc>
        <w:tc>
          <w:tcPr>
            <w:tcW w:w="965" w:type="dxa"/>
            <w:vAlign w:val="center"/>
          </w:tcPr>
          <w:p>
            <w:pPr>
              <w:keepNext w:val="0"/>
              <w:keepLines w:val="0"/>
              <w:pageBreakBefore w:val="0"/>
              <w:widowControl w:val="0"/>
              <w:kinsoku/>
              <w:wordWrap/>
              <w:overflowPunct/>
              <w:topLinePunct w:val="0"/>
              <w:autoSpaceDE/>
              <w:autoSpaceDN/>
              <w:bidi w:val="0"/>
              <w:adjustRightInd w:val="0"/>
              <w:snapToGrid/>
              <w:spacing w:before="32" w:beforeLines="10" w:after="32" w:afterLines="10" w:line="320" w:lineRule="exact"/>
              <w:jc w:val="center"/>
              <w:textAlignment w:val="baseline"/>
              <w:outlineLvl w:val="9"/>
              <w:rPr>
                <w:rFonts w:ascii="宋体" w:hAnsi="宋体"/>
              </w:rPr>
            </w:pPr>
            <w:r>
              <w:rPr>
                <w:rFonts w:hint="eastAsia" w:ascii="宋体" w:hAnsi="宋体"/>
              </w:rPr>
              <w:t>/</w:t>
            </w:r>
          </w:p>
        </w:tc>
      </w:tr>
    </w:tbl>
    <w:p>
      <w:pPr>
        <w:tabs>
          <w:tab w:val="left" w:pos="0"/>
        </w:tabs>
        <w:spacing w:line="400" w:lineRule="exact"/>
        <w:ind w:firstLine="405"/>
        <w:rPr>
          <w:rFonts w:ascii="宋体" w:hAnsi="宋体"/>
          <w:kern w:val="0"/>
          <w:szCs w:val="21"/>
        </w:rPr>
      </w:pPr>
      <w:r>
        <w:rPr>
          <w:rFonts w:hint="eastAsia" w:ascii="宋体" w:hAnsi="宋体"/>
          <w:kern w:val="0"/>
          <w:szCs w:val="21"/>
        </w:rPr>
        <w:t>注：</w:t>
      </w:r>
      <w:r>
        <w:rPr>
          <w:rFonts w:hint="eastAsia" w:ascii="宋体" w:hAnsi="宋体"/>
          <w:kern w:val="0"/>
          <w:szCs w:val="21"/>
          <w:lang w:eastAsia="zh-CN"/>
        </w:rPr>
        <w:t>简支梁</w:t>
      </w:r>
      <w:r>
        <w:rPr>
          <w:rFonts w:hint="eastAsia" w:ascii="宋体" w:hAnsi="宋体"/>
          <w:kern w:val="0"/>
          <w:szCs w:val="21"/>
        </w:rPr>
        <w:t>产品标准中有规定的，执行</w:t>
      </w:r>
      <w:r>
        <w:rPr>
          <w:rFonts w:hint="eastAsia" w:ascii="宋体" w:hAnsi="宋体"/>
          <w:kern w:val="0"/>
          <w:szCs w:val="21"/>
          <w:lang w:eastAsia="zh-CN"/>
        </w:rPr>
        <w:t>简支梁</w:t>
      </w:r>
      <w:r>
        <w:rPr>
          <w:rFonts w:hint="eastAsia" w:ascii="宋体" w:hAnsi="宋体"/>
          <w:kern w:val="0"/>
          <w:szCs w:val="21"/>
        </w:rPr>
        <w:t>产品标准。</w:t>
      </w:r>
    </w:p>
    <w:p>
      <w:pPr>
        <w:tabs>
          <w:tab w:val="left" w:pos="0"/>
        </w:tabs>
        <w:spacing w:line="400" w:lineRule="exact"/>
        <w:ind w:firstLine="405"/>
        <w:rPr>
          <w:rFonts w:ascii="宋体" w:hAnsi="宋体"/>
          <w:kern w:val="0"/>
          <w:szCs w:val="24"/>
        </w:rPr>
      </w:pPr>
    </w:p>
    <w:p>
      <w:pPr>
        <w:pStyle w:val="40"/>
        <w:numPr>
          <w:ilvl w:val="0"/>
          <w:numId w:val="1"/>
        </w:numPr>
        <w:spacing w:line="360" w:lineRule="auto"/>
        <w:ind w:left="0" w:firstLine="422" w:firstLineChars="0"/>
      </w:pPr>
      <w:r>
        <w:rPr>
          <w:rFonts w:hint="eastAsia" w:ascii="宋体" w:hAnsi="宋体"/>
        </w:rPr>
        <w:t>企业申请发证、证书延续、许可范围变更（许可范围变更的情形含：</w:t>
      </w:r>
      <w:r>
        <w:rPr>
          <w:rFonts w:hint="eastAsia" w:ascii="宋体" w:hAnsi="宋体"/>
          <w:color w:val="000000"/>
        </w:rPr>
        <w:t>生产地址迁移，增加生产厂点、产品单元、产品品</w:t>
      </w:r>
      <w:r>
        <w:rPr>
          <w:rFonts w:hint="eastAsia"/>
        </w:rPr>
        <w:t>种；同一单元同一品种内的型号规格发生变化时，按表</w:t>
      </w:r>
      <w:r>
        <w:t>1规定可以</w:t>
      </w:r>
      <w:r>
        <w:rPr>
          <w:rFonts w:hint="eastAsia"/>
        </w:rPr>
        <w:t>采用覆盖原则或者平行原则的无需申请扩项，反之需申请扩项，并按照本实施细则规定的程序进行产品检测）需要进行实</w:t>
      </w:r>
      <w:r>
        <w:rPr>
          <w:rFonts w:hint="eastAsia" w:ascii="宋体" w:hAnsi="宋体"/>
        </w:rPr>
        <w:t>地核查的，企业应在实地核查前做好准备，</w:t>
      </w:r>
      <w:r>
        <w:rPr>
          <w:rFonts w:hint="eastAsia"/>
        </w:rPr>
        <w:t>根据本细则第六条要求</w:t>
      </w:r>
      <w:r>
        <w:rPr>
          <w:rFonts w:hint="eastAsia" w:ascii="宋体" w:hAnsi="宋体"/>
        </w:rPr>
        <w:t>和实际情况填写下列企业资料，实地核查时提交审查组现场核查。</w:t>
      </w:r>
    </w:p>
    <w:p>
      <w:pPr>
        <w:pStyle w:val="40"/>
        <w:spacing w:line="360" w:lineRule="auto"/>
        <w:ind w:firstLineChars="0"/>
        <w:rPr>
          <w:rFonts w:ascii="宋体" w:hAnsi="宋体"/>
        </w:rPr>
      </w:pPr>
      <w:r>
        <w:rPr>
          <w:rFonts w:hint="eastAsia" w:ascii="宋体" w:hAnsi="宋体"/>
          <w:color w:val="000000"/>
        </w:rPr>
        <w:t>（一）</w:t>
      </w:r>
      <w:r>
        <w:rPr>
          <w:rFonts w:hint="eastAsia" w:ascii="宋体" w:hAnsi="宋体"/>
        </w:rPr>
        <w:t>企业生产预应力混凝土铁路桥简支梁产品主要工艺流程图</w:t>
      </w:r>
      <w:r>
        <w:rPr>
          <w:rFonts w:hint="eastAsia" w:ascii="宋体" w:hAnsi="宋体"/>
          <w:kern w:val="0"/>
        </w:rPr>
        <w:t xml:space="preserve"> (见附件2-1)</w:t>
      </w:r>
      <w:r>
        <w:rPr>
          <w:rFonts w:hint="eastAsia" w:ascii="宋体" w:hAnsi="宋体"/>
        </w:rPr>
        <w:t>；</w:t>
      </w:r>
    </w:p>
    <w:p>
      <w:pPr>
        <w:pStyle w:val="40"/>
        <w:spacing w:line="360" w:lineRule="auto"/>
        <w:ind w:firstLineChars="0"/>
        <w:rPr>
          <w:rFonts w:ascii="宋体" w:hAnsi="宋体" w:cs="Times New Roman"/>
          <w:iCs/>
          <w:kern w:val="0"/>
        </w:rPr>
      </w:pPr>
      <w:r>
        <w:rPr>
          <w:rFonts w:hint="eastAsia" w:ascii="宋体" w:hAnsi="宋体"/>
          <w:color w:val="000000"/>
        </w:rPr>
        <w:t>（二）</w:t>
      </w:r>
      <w:r>
        <w:rPr>
          <w:rFonts w:hint="eastAsia" w:ascii="宋体" w:hAnsi="宋体"/>
        </w:rPr>
        <w:t>企业生产预应力混凝土铁路桥简支梁产品生产设施和检验设施表</w:t>
      </w:r>
      <w:r>
        <w:rPr>
          <w:rFonts w:hint="eastAsia" w:ascii="宋体" w:hAnsi="宋体"/>
          <w:kern w:val="0"/>
        </w:rPr>
        <w:t>(见附件</w:t>
      </w:r>
      <w:r>
        <w:rPr>
          <w:rFonts w:hint="eastAsia" w:ascii="宋体" w:hAnsi="宋体" w:cs="Times New Roman"/>
          <w:kern w:val="0"/>
        </w:rPr>
        <w:t>2-2</w:t>
      </w:r>
      <w:r>
        <w:rPr>
          <w:rFonts w:hint="eastAsia" w:ascii="宋体" w:hAnsi="宋体"/>
          <w:kern w:val="0"/>
        </w:rPr>
        <w:t>)和生产场所示意图(见附件</w:t>
      </w:r>
      <w:r>
        <w:rPr>
          <w:rFonts w:hint="eastAsia" w:ascii="宋体" w:hAnsi="宋体" w:cs="Times New Roman"/>
          <w:kern w:val="0"/>
        </w:rPr>
        <w:t>2-3</w:t>
      </w:r>
      <w:r>
        <w:rPr>
          <w:rFonts w:hint="eastAsia" w:ascii="宋体" w:hAnsi="宋体"/>
          <w:kern w:val="0"/>
        </w:rPr>
        <w:t>)；</w:t>
      </w:r>
    </w:p>
    <w:p>
      <w:pPr>
        <w:spacing w:line="360" w:lineRule="auto"/>
        <w:ind w:firstLine="371" w:firstLineChars="177"/>
        <w:rPr>
          <w:rFonts w:ascii="宋体" w:hAnsi="宋体"/>
          <w:kern w:val="0"/>
          <w:szCs w:val="21"/>
        </w:rPr>
      </w:pPr>
      <w:r>
        <w:rPr>
          <w:rFonts w:hint="eastAsia" w:ascii="宋体" w:hAnsi="宋体"/>
          <w:iCs/>
          <w:kern w:val="0"/>
          <w:szCs w:val="21"/>
        </w:rPr>
        <w:t>（三）</w:t>
      </w:r>
      <w:r>
        <w:rPr>
          <w:rFonts w:hint="eastAsia" w:ascii="宋体" w:hAnsi="宋体"/>
          <w:szCs w:val="21"/>
        </w:rPr>
        <w:t>企业生产预应力混凝土铁路桥简支梁产品生产设备表</w:t>
      </w:r>
      <w:r>
        <w:rPr>
          <w:rFonts w:hint="eastAsia" w:ascii="宋体" w:hAnsi="宋体"/>
          <w:kern w:val="0"/>
          <w:szCs w:val="21"/>
        </w:rPr>
        <w:t>(见附件2-4)；</w:t>
      </w:r>
    </w:p>
    <w:p>
      <w:pPr>
        <w:pStyle w:val="40"/>
        <w:spacing w:line="360" w:lineRule="auto"/>
        <w:ind w:firstLine="371" w:firstLineChars="177"/>
        <w:rPr>
          <w:rFonts w:ascii="宋体" w:hAnsi="宋体"/>
          <w:kern w:val="0"/>
        </w:rPr>
      </w:pPr>
      <w:r>
        <w:rPr>
          <w:rFonts w:hint="eastAsia" w:ascii="宋体" w:hAnsi="宋体"/>
          <w:iCs/>
          <w:kern w:val="0"/>
        </w:rPr>
        <w:t>（四）</w:t>
      </w:r>
      <w:r>
        <w:rPr>
          <w:rFonts w:hint="eastAsia" w:ascii="宋体" w:hAnsi="宋体"/>
          <w:color w:val="000000"/>
        </w:rPr>
        <w:t>企业生产</w:t>
      </w:r>
      <w:r>
        <w:rPr>
          <w:rFonts w:hint="eastAsia" w:ascii="宋体" w:hAnsi="宋体"/>
        </w:rPr>
        <w:t>预应力混凝土铁路桥简支梁</w:t>
      </w:r>
      <w:r>
        <w:rPr>
          <w:rFonts w:hint="eastAsia" w:ascii="宋体" w:hAnsi="宋体"/>
          <w:color w:val="000000"/>
        </w:rPr>
        <w:t>产品检验设备表</w:t>
      </w:r>
      <w:r>
        <w:rPr>
          <w:rFonts w:hint="eastAsia" w:ascii="宋体" w:hAnsi="宋体"/>
          <w:color w:val="000000"/>
          <w:kern w:val="0"/>
        </w:rPr>
        <w:t>(见附</w:t>
      </w:r>
      <w:r>
        <w:rPr>
          <w:rFonts w:hint="eastAsia" w:ascii="宋体" w:hAnsi="宋体"/>
          <w:kern w:val="0"/>
        </w:rPr>
        <w:t>件</w:t>
      </w:r>
      <w:r>
        <w:rPr>
          <w:rFonts w:hint="eastAsia" w:ascii="宋体" w:hAnsi="宋体" w:cs="Times New Roman"/>
          <w:kern w:val="0"/>
        </w:rPr>
        <w:t>2-5</w:t>
      </w:r>
      <w:r>
        <w:rPr>
          <w:rFonts w:hint="eastAsia" w:ascii="宋体" w:hAnsi="宋体"/>
          <w:kern w:val="0"/>
        </w:rPr>
        <w:t>)；</w:t>
      </w:r>
    </w:p>
    <w:p>
      <w:pPr>
        <w:spacing w:line="360" w:lineRule="auto"/>
        <w:ind w:firstLine="371" w:firstLineChars="177"/>
        <w:rPr>
          <w:rFonts w:ascii="宋体" w:hAnsi="宋体"/>
          <w:kern w:val="0"/>
          <w:szCs w:val="21"/>
        </w:rPr>
      </w:pPr>
      <w:r>
        <w:rPr>
          <w:rFonts w:hint="eastAsia" w:ascii="宋体" w:hAnsi="宋体"/>
          <w:iCs/>
          <w:kern w:val="0"/>
          <w:szCs w:val="21"/>
        </w:rPr>
        <w:t>（五）</w:t>
      </w:r>
      <w:r>
        <w:rPr>
          <w:rFonts w:hint="eastAsia"/>
          <w:szCs w:val="21"/>
        </w:rPr>
        <w:t>企业生产</w:t>
      </w:r>
      <w:r>
        <w:rPr>
          <w:rFonts w:hint="eastAsia" w:ascii="宋体" w:hAnsi="宋体"/>
          <w:szCs w:val="21"/>
        </w:rPr>
        <w:t>预应力混凝土铁路桥简支梁</w:t>
      </w:r>
      <w:r>
        <w:rPr>
          <w:rFonts w:hint="eastAsia"/>
          <w:szCs w:val="21"/>
        </w:rPr>
        <w:t>产品重要原材料明细表</w:t>
      </w:r>
      <w:r>
        <w:rPr>
          <w:rFonts w:hint="eastAsia" w:ascii="宋体" w:hAnsi="宋体"/>
          <w:kern w:val="0"/>
          <w:szCs w:val="21"/>
        </w:rPr>
        <w:t xml:space="preserve"> (见附件2-6)；</w:t>
      </w:r>
    </w:p>
    <w:p>
      <w:pPr>
        <w:spacing w:line="360" w:lineRule="auto"/>
        <w:ind w:firstLine="371" w:firstLineChars="177"/>
        <w:rPr>
          <w:rFonts w:ascii="宋体" w:hAnsi="宋体"/>
          <w:color w:val="000000"/>
          <w:szCs w:val="21"/>
        </w:rPr>
      </w:pPr>
      <w:r>
        <w:rPr>
          <w:rFonts w:hint="eastAsia" w:ascii="宋体" w:hAnsi="宋体"/>
          <w:color w:val="000000"/>
          <w:szCs w:val="21"/>
        </w:rPr>
        <w:t>（六）关键岗位</w:t>
      </w:r>
      <w:r>
        <w:rPr>
          <w:rFonts w:hint="eastAsia" w:ascii="宋体" w:hAnsi="宋体"/>
          <w:szCs w:val="21"/>
        </w:rPr>
        <w:t>专业技术</w:t>
      </w:r>
      <w:r>
        <w:rPr>
          <w:rFonts w:hint="eastAsia"/>
          <w:color w:val="000000"/>
          <w:szCs w:val="21"/>
        </w:rPr>
        <w:t>人员表</w:t>
      </w:r>
      <w:r>
        <w:rPr>
          <w:rFonts w:hint="eastAsia" w:ascii="宋体" w:hAnsi="宋体"/>
          <w:color w:val="000000"/>
          <w:kern w:val="0"/>
          <w:szCs w:val="21"/>
        </w:rPr>
        <w:t>(见附件2-7)</w:t>
      </w:r>
      <w:r>
        <w:rPr>
          <w:rFonts w:hint="eastAsia" w:ascii="宋体" w:hAnsi="宋体"/>
          <w:color w:val="000000"/>
          <w:szCs w:val="21"/>
        </w:rPr>
        <w:t>；</w:t>
      </w:r>
    </w:p>
    <w:p>
      <w:pPr>
        <w:spacing w:line="360" w:lineRule="auto"/>
        <w:ind w:firstLine="371" w:firstLineChars="177"/>
        <w:rPr>
          <w:rFonts w:ascii="宋体" w:hAnsi="宋体"/>
          <w:color w:val="000000"/>
          <w:szCs w:val="21"/>
        </w:rPr>
      </w:pPr>
      <w:r>
        <w:rPr>
          <w:rFonts w:hint="eastAsia" w:ascii="宋体" w:hAnsi="宋体"/>
          <w:color w:val="000000"/>
          <w:szCs w:val="21"/>
        </w:rPr>
        <w:t>（七）产品技术文件和工艺文件清单</w:t>
      </w:r>
      <w:r>
        <w:rPr>
          <w:rFonts w:hint="eastAsia" w:ascii="宋体" w:hAnsi="宋体"/>
          <w:color w:val="000000"/>
          <w:kern w:val="0"/>
          <w:szCs w:val="21"/>
        </w:rPr>
        <w:t>(见附件2-8)</w:t>
      </w:r>
      <w:r>
        <w:rPr>
          <w:rFonts w:hint="eastAsia" w:ascii="宋体" w:hAnsi="宋体"/>
          <w:color w:val="000000"/>
          <w:szCs w:val="21"/>
        </w:rPr>
        <w:t>。</w:t>
      </w:r>
    </w:p>
    <w:p>
      <w:pPr>
        <w:pStyle w:val="4"/>
        <w:keepNext/>
        <w:keepLines/>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outlineLvl w:val="2"/>
        <w:rPr>
          <w:rFonts w:hint="eastAsia"/>
          <w:sz w:val="28"/>
          <w:szCs w:val="28"/>
        </w:rPr>
      </w:pPr>
      <w:bookmarkStart w:id="3" w:name="_Toc524357725"/>
      <w:r>
        <w:rPr>
          <w:rFonts w:hint="eastAsia"/>
          <w:sz w:val="28"/>
          <w:szCs w:val="28"/>
        </w:rPr>
        <w:t xml:space="preserve">第四章  </w:t>
      </w:r>
      <w:bookmarkEnd w:id="3"/>
      <w:r>
        <w:rPr>
          <w:rFonts w:hint="eastAsia"/>
          <w:sz w:val="28"/>
          <w:szCs w:val="28"/>
        </w:rPr>
        <w:t>产品检测报告</w:t>
      </w:r>
    </w:p>
    <w:p>
      <w:pPr>
        <w:pStyle w:val="40"/>
        <w:numPr>
          <w:ilvl w:val="0"/>
          <w:numId w:val="1"/>
        </w:numPr>
        <w:spacing w:line="360" w:lineRule="auto"/>
        <w:ind w:left="0" w:firstLine="422" w:firstLineChars="0"/>
        <w:rPr>
          <w:rFonts w:ascii="宋体" w:hAnsi="宋体"/>
        </w:rPr>
      </w:pPr>
      <w:r>
        <w:rPr>
          <w:rFonts w:hint="eastAsia" w:ascii="宋体" w:hAnsi="宋体"/>
        </w:rPr>
        <w:t>企业申请发证、证书延续、许可范围变更（许可范围变更的情形含：生产地址迁移，增加生产厂点、生产线、产品单元等）</w:t>
      </w:r>
      <w:r>
        <w:rPr>
          <w:rFonts w:hint="eastAsia" w:ascii="宋体" w:hAnsi="宋体"/>
          <w:kern w:val="0"/>
        </w:rPr>
        <w:t>，须提供合格的委托产品检测报告。</w:t>
      </w:r>
    </w:p>
    <w:p>
      <w:pPr>
        <w:pStyle w:val="40"/>
        <w:spacing w:line="360" w:lineRule="auto"/>
        <w:ind w:left="422" w:firstLine="0" w:firstLineChars="0"/>
        <w:rPr>
          <w:rFonts w:ascii="宋体" w:hAnsi="宋体"/>
        </w:rPr>
      </w:pPr>
      <w:r>
        <w:rPr>
          <w:rFonts w:hint="eastAsia" w:ascii="宋体" w:hAnsi="宋体"/>
        </w:rPr>
        <w:t>（一）按照企业申报的产品单元和品种，每个产品单元品种分别提供相应的抽样检测报告。</w:t>
      </w:r>
    </w:p>
    <w:p>
      <w:pPr>
        <w:pStyle w:val="40"/>
        <w:spacing w:line="360" w:lineRule="auto"/>
        <w:ind w:left="422" w:firstLine="0" w:firstLineChars="0"/>
        <w:rPr>
          <w:rFonts w:ascii="宋体" w:hAnsi="宋体"/>
        </w:rPr>
      </w:pPr>
      <w:r>
        <w:rPr>
          <w:rFonts w:hint="eastAsia" w:ascii="宋体" w:hAnsi="宋体"/>
        </w:rPr>
        <w:t>（二）</w:t>
      </w:r>
      <w:r>
        <w:rPr>
          <w:rFonts w:ascii="宋体" w:hAnsi="宋体"/>
        </w:rPr>
        <w:t>有多个生产地址时</w:t>
      </w:r>
      <w:r>
        <w:rPr>
          <w:rFonts w:hint="eastAsia" w:ascii="宋体" w:hAnsi="宋体"/>
        </w:rPr>
        <w:t>，</w:t>
      </w:r>
      <w:r>
        <w:rPr>
          <w:rFonts w:ascii="宋体" w:hAnsi="宋体"/>
        </w:rPr>
        <w:t>每个地址每个产品单元品种分别提供相应的合格抽样</w:t>
      </w:r>
      <w:r>
        <w:rPr>
          <w:rFonts w:hint="eastAsia" w:ascii="宋体" w:hAnsi="宋体"/>
        </w:rPr>
        <w:t>检测报告。</w:t>
      </w:r>
    </w:p>
    <w:p>
      <w:pPr>
        <w:pStyle w:val="40"/>
        <w:spacing w:line="360" w:lineRule="auto"/>
        <w:ind w:firstLine="422" w:firstLineChars="201"/>
        <w:rPr>
          <w:rFonts w:ascii="宋体" w:hAnsi="宋体"/>
        </w:rPr>
      </w:pPr>
      <w:r>
        <w:rPr>
          <w:rFonts w:hint="eastAsia" w:ascii="宋体" w:hAnsi="宋体"/>
        </w:rPr>
        <w:t>（三）</w:t>
      </w:r>
      <w:r>
        <w:rPr>
          <w:rFonts w:ascii="宋体" w:hAnsi="宋体"/>
        </w:rPr>
        <w:t>按</w:t>
      </w:r>
      <w:r>
        <w:rPr>
          <w:rFonts w:hint="eastAsia" w:ascii="宋体" w:hAnsi="宋体"/>
        </w:rPr>
        <w:t>覆盖</w:t>
      </w:r>
      <w:r>
        <w:rPr>
          <w:rFonts w:ascii="宋体" w:hAnsi="宋体"/>
        </w:rPr>
        <w:t>原则</w:t>
      </w:r>
      <w:r>
        <w:rPr>
          <w:rFonts w:hint="eastAsia" w:ascii="宋体" w:hAnsi="宋体"/>
        </w:rPr>
        <w:t>，申请某个跨度</w:t>
      </w:r>
      <w:r>
        <w:rPr>
          <w:rFonts w:ascii="宋体" w:hAnsi="宋体"/>
        </w:rPr>
        <w:t>T型简支梁产品时，</w:t>
      </w:r>
      <w:r>
        <w:rPr>
          <w:rFonts w:hint="eastAsia"/>
        </w:rPr>
        <w:t>须提供T型简支梁的合格抽样检测报告，并且静载试验样品应为申请的最大跨度简支梁，外形尺寸样品应覆盖申请的最大跨度简支梁。</w:t>
      </w:r>
    </w:p>
    <w:p>
      <w:pPr>
        <w:pStyle w:val="40"/>
        <w:spacing w:line="360" w:lineRule="auto"/>
        <w:ind w:firstLine="422" w:firstLineChars="201"/>
        <w:rPr>
          <w:rFonts w:ascii="宋体" w:hAnsi="宋体"/>
        </w:rPr>
      </w:pPr>
      <w:r>
        <w:rPr>
          <w:rFonts w:hint="eastAsia" w:ascii="宋体" w:hAnsi="宋体"/>
        </w:rPr>
        <w:t>（四）按箱型简支梁平行原则，申请某个线数箱型简支梁产品时，须提供箱型简支梁的合格抽样检测报告，样品可以是任意线数的简支梁。</w:t>
      </w:r>
    </w:p>
    <w:p>
      <w:pPr>
        <w:pStyle w:val="40"/>
        <w:spacing w:line="360" w:lineRule="auto"/>
        <w:ind w:firstLine="422" w:firstLineChars="201"/>
        <w:rPr>
          <w:rFonts w:ascii="宋体" w:hAnsi="宋体"/>
        </w:rPr>
      </w:pPr>
      <w:r>
        <w:rPr>
          <w:rFonts w:hint="eastAsia" w:ascii="宋体" w:hAnsi="宋体"/>
        </w:rPr>
        <w:t>（五）</w:t>
      </w:r>
      <w:r>
        <w:rPr>
          <w:rFonts w:ascii="宋体" w:hAnsi="宋体"/>
        </w:rPr>
        <w:t>按</w:t>
      </w:r>
      <w:r>
        <w:rPr>
          <w:rFonts w:hint="eastAsia" w:ascii="宋体" w:hAnsi="宋体"/>
        </w:rPr>
        <w:t>覆盖</w:t>
      </w:r>
      <w:r>
        <w:rPr>
          <w:rFonts w:ascii="宋体" w:hAnsi="宋体"/>
        </w:rPr>
        <w:t>原则</w:t>
      </w:r>
      <w:r>
        <w:rPr>
          <w:rFonts w:hint="eastAsia" w:ascii="宋体" w:hAnsi="宋体"/>
        </w:rPr>
        <w:t>，申请某个截面型式异型简支梁产品时，须提供该截面型式的合格抽样检测报告，并且静载试验样品和外形尺寸检测样品应覆盖生产任务中的最大跨度简支梁。</w:t>
      </w:r>
    </w:p>
    <w:p>
      <w:pPr>
        <w:pStyle w:val="40"/>
        <w:numPr>
          <w:ilvl w:val="0"/>
          <w:numId w:val="1"/>
        </w:numPr>
        <w:spacing w:line="360" w:lineRule="auto"/>
        <w:ind w:left="0" w:firstLine="422" w:firstLineChars="0"/>
        <w:rPr>
          <w:rFonts w:ascii="宋体" w:hAnsi="宋体"/>
        </w:rPr>
      </w:pPr>
      <w:r>
        <w:rPr>
          <w:rFonts w:hint="eastAsia" w:ascii="宋体" w:hAnsi="宋体"/>
        </w:rPr>
        <w:t>产品抽样规则规定如下：</w:t>
      </w:r>
    </w:p>
    <w:p>
      <w:pPr>
        <w:pStyle w:val="40"/>
        <w:spacing w:line="360" w:lineRule="auto"/>
        <w:ind w:firstLine="283" w:firstLineChars="135"/>
        <w:rPr>
          <w:rFonts w:ascii="宋体" w:hAnsi="宋体"/>
        </w:rPr>
      </w:pPr>
      <w:r>
        <w:rPr>
          <w:rFonts w:hint="eastAsia" w:ascii="宋体" w:hAnsi="宋体"/>
        </w:rPr>
        <w:t>（一）在企业自检合格的产品中实施抽样，抽检样品种类、抽样方法、抽样基数和样品数量应满足表4要求，并填写抽样单。</w:t>
      </w:r>
    </w:p>
    <w:p>
      <w:pPr>
        <w:pStyle w:val="40"/>
        <w:tabs>
          <w:tab w:val="left" w:pos="1418"/>
        </w:tabs>
        <w:adjustRightInd w:val="0"/>
        <w:snapToGrid w:val="0"/>
        <w:spacing w:line="360" w:lineRule="auto"/>
        <w:ind w:left="284" w:firstLine="0" w:firstLineChars="0"/>
        <w:jc w:val="center"/>
        <w:rPr>
          <w:b/>
          <w:bCs/>
        </w:rPr>
      </w:pPr>
      <w:r>
        <w:rPr>
          <w:rFonts w:hint="eastAsia"/>
          <w:b/>
        </w:rPr>
        <w:t>表</w:t>
      </w:r>
      <w:r>
        <w:rPr>
          <w:rFonts w:hint="eastAsia"/>
          <w:b/>
          <w:kern w:val="0"/>
        </w:rPr>
        <w:t>4</w:t>
      </w:r>
      <w:r>
        <w:rPr>
          <w:rFonts w:hint="eastAsia"/>
          <w:b/>
        </w:rPr>
        <w:t xml:space="preserve">  抽检样品种类、抽样方法、抽样基数和样品数量一览表</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64"/>
        <w:gridCol w:w="767"/>
        <w:gridCol w:w="1607"/>
        <w:gridCol w:w="1607"/>
        <w:gridCol w:w="1607"/>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7" w:hRule="atLeast"/>
          <w:tblHeader/>
          <w:jc w:val="center"/>
        </w:trPr>
        <w:tc>
          <w:tcPr>
            <w:tcW w:w="6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产品单元</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产品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品种</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抽检样品种类</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抽样基数</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样品数量</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
                <w:bCs/>
                <w:szCs w:val="21"/>
              </w:rPr>
            </w:pPr>
            <w:r>
              <w:rPr>
                <w:rFonts w:hint="eastAsia" w:ascii="宋体" w:hAnsi="宋体"/>
                <w:b/>
                <w:bCs/>
                <w:szCs w:val="21"/>
              </w:rPr>
              <w:t>抽样方法及要求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1" w:hRule="atLeast"/>
          <w:jc w:val="center"/>
        </w:trPr>
        <w:tc>
          <w:tcPr>
            <w:tcW w:w="664"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sz w:val="18"/>
                <w:szCs w:val="21"/>
              </w:rPr>
            </w:pPr>
            <w:r>
              <w:rPr>
                <w:rFonts w:hint="eastAsia" w:ascii="宋体" w:hAnsi="宋体"/>
                <w:bCs/>
                <w:szCs w:val="21"/>
              </w:rPr>
              <w:t>后张法预应力混凝土简支梁</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T型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静载试验和外形尺寸覆盖申请的最大跨度</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不少于12件；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restart"/>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（1）从企业自检合格的库存成品梁中，采取随机抽样与特定抽样相结合的抽样方法。</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（2）静载试验样品梁宜遵循以下六个抽样原则：</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①跨度——以大代小</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②梁别——以双代单</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③梁高——以低代高</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④设计——以弱代强</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⑤工艺——以难代易</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t>⑥</w:t>
            </w:r>
            <w:r>
              <w:rPr>
                <w:rFonts w:hint="eastAsia" w:ascii="宋体" w:hAnsi="宋体" w:cs="Times New Roman"/>
                <w:bCs/>
              </w:rPr>
              <w:t>质量——以劣代优（指张拉龄期最短、强度、弹模较低者）。</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（3）外形外观梁样品梁宜遵循以下三个抽样原则：直曲并存、跨度兼顾、龄期覆盖。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1" w:hRule="atLeast"/>
          <w:jc w:val="center"/>
        </w:trPr>
        <w:tc>
          <w:tcPr>
            <w:tcW w:w="664"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sz w:val="18"/>
                <w:szCs w:val="21"/>
              </w:rPr>
            </w:pP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箱型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任意线数</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szCs w:val="21"/>
              </w:rPr>
              <w:t>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1" w:hRule="atLeast"/>
          <w:jc w:val="center"/>
        </w:trPr>
        <w:tc>
          <w:tcPr>
            <w:tcW w:w="664"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after="0" w:line="360" w:lineRule="exact"/>
              <w:jc w:val="center"/>
              <w:textAlignment w:val="auto"/>
              <w:outlineLvl w:val="9"/>
              <w:rPr>
                <w:rFonts w:ascii="宋体" w:hAnsi="宋体"/>
                <w:sz w:val="18"/>
                <w:szCs w:val="21"/>
              </w:rPr>
            </w:pP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异型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申请的具体截面型式并静载试验和外形尺寸覆盖生产任务中的最大跨度</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szCs w:val="21"/>
              </w:rPr>
              <w:t>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1" w:hRule="atLeast"/>
          <w:jc w:val="center"/>
        </w:trPr>
        <w:tc>
          <w:tcPr>
            <w:tcW w:w="664" w:type="dxa"/>
            <w:vMerge w:val="restart"/>
            <w:vAlign w:val="center"/>
          </w:tcPr>
          <w:p>
            <w:pPr>
              <w:pStyle w:val="17"/>
              <w:keepNext w:val="0"/>
              <w:keepLines w:val="0"/>
              <w:pageBreakBefore w:val="0"/>
              <w:widowControl w:val="0"/>
              <w:kinsoku/>
              <w:wordWrap/>
              <w:overflowPunct/>
              <w:topLinePunct w:val="0"/>
              <w:autoSpaceDE/>
              <w:autoSpaceDN/>
              <w:bidi w:val="0"/>
              <w:adjustRightInd/>
              <w:snapToGrid/>
              <w:spacing w:after="0" w:line="360" w:lineRule="exact"/>
              <w:jc w:val="center"/>
              <w:textAlignment w:val="auto"/>
              <w:outlineLvl w:val="9"/>
              <w:rPr>
                <w:rFonts w:ascii="宋体" w:hAnsi="宋体"/>
                <w:sz w:val="18"/>
                <w:szCs w:val="21"/>
              </w:rPr>
            </w:pPr>
            <w:r>
              <w:rPr>
                <w:rFonts w:hint="eastAsia" w:ascii="宋体" w:hAnsi="宋体"/>
                <w:bCs/>
                <w:szCs w:val="21"/>
              </w:rPr>
              <w:t>先张法预应力混凝土简支梁</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T型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静载试验和外形尺寸覆盖申请的最大跨度</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不少于12件；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restart"/>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（1）从企业自检合格的库存成品梁中，采取随机抽样与特定抽样相结合的抽样方法。</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（2）静载试验样品梁宜遵循以下六个抽样原则：</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①跨度——以大代小</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②梁别——以双代单</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③梁高——以低代高</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④设计——以弱代强</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hint="eastAsia" w:ascii="宋体" w:hAnsi="宋体" w:cs="Times New Roman"/>
                <w:bCs/>
              </w:rPr>
              <w:t>⑤工艺——以难代易</w:t>
            </w:r>
          </w:p>
          <w:p>
            <w:pPr>
              <w:pStyle w:val="40"/>
              <w:keepNext w:val="0"/>
              <w:keepLines w:val="0"/>
              <w:pageBreakBefore w:val="0"/>
              <w:widowControl w:val="0"/>
              <w:tabs>
                <w:tab w:val="left" w:pos="1418"/>
              </w:tabs>
              <w:kinsoku/>
              <w:wordWrap/>
              <w:overflowPunct/>
              <w:topLinePunct w:val="0"/>
              <w:autoSpaceDE/>
              <w:autoSpaceDN/>
              <w:bidi w:val="0"/>
              <w:adjustRightInd/>
              <w:snapToGrid/>
              <w:spacing w:line="360" w:lineRule="exact"/>
              <w:ind w:firstLine="0" w:firstLineChars="0"/>
              <w:jc w:val="left"/>
              <w:textAlignment w:val="auto"/>
              <w:outlineLvl w:val="9"/>
              <w:rPr>
                <w:rFonts w:ascii="宋体" w:hAnsi="宋体" w:cs="Times New Roman"/>
                <w:bCs/>
              </w:rPr>
            </w:pPr>
            <w:r>
              <w:rPr>
                <w:rFonts w:ascii="宋体" w:hAnsi="宋体" w:cs="Times New Roman"/>
                <w:bCs/>
              </w:rPr>
              <w:t>⑥</w:t>
            </w:r>
            <w:r>
              <w:rPr>
                <w:rFonts w:hint="eastAsia" w:ascii="宋体" w:hAnsi="宋体" w:cs="Times New Roman"/>
                <w:bCs/>
              </w:rPr>
              <w:t>质量——以劣代优（指张拉龄期最短、强度、弹模较低者）。</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（3）外形外观梁样品梁宜遵循以下三个抽样原则：直曲并存、跨度兼顾、龄期覆盖。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1" w:hRule="atLeast"/>
          <w:jc w:val="center"/>
        </w:trPr>
        <w:tc>
          <w:tcPr>
            <w:tcW w:w="664"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after="0" w:line="360" w:lineRule="exact"/>
              <w:jc w:val="center"/>
              <w:textAlignment w:val="auto"/>
              <w:outlineLvl w:val="9"/>
              <w:rPr>
                <w:rFonts w:ascii="宋体" w:hAnsi="宋体"/>
                <w:sz w:val="18"/>
                <w:szCs w:val="21"/>
              </w:rPr>
            </w:pP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箱型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任意线数</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szCs w:val="21"/>
              </w:rPr>
              <w:t>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1" w:hRule="atLeast"/>
          <w:jc w:val="center"/>
        </w:trPr>
        <w:tc>
          <w:tcPr>
            <w:tcW w:w="664" w:type="dxa"/>
            <w:vMerge w:val="continue"/>
            <w:vAlign w:val="center"/>
          </w:tcPr>
          <w:p>
            <w:pPr>
              <w:pStyle w:val="17"/>
              <w:keepNext w:val="0"/>
              <w:keepLines w:val="0"/>
              <w:pageBreakBefore w:val="0"/>
              <w:widowControl w:val="0"/>
              <w:kinsoku/>
              <w:wordWrap/>
              <w:overflowPunct/>
              <w:topLinePunct w:val="0"/>
              <w:autoSpaceDE/>
              <w:autoSpaceDN/>
              <w:bidi w:val="0"/>
              <w:adjustRightInd/>
              <w:snapToGrid/>
              <w:spacing w:after="0" w:line="360" w:lineRule="exact"/>
              <w:jc w:val="center"/>
              <w:textAlignment w:val="auto"/>
              <w:outlineLvl w:val="9"/>
              <w:rPr>
                <w:rFonts w:ascii="宋体" w:hAnsi="宋体"/>
                <w:sz w:val="18"/>
                <w:szCs w:val="21"/>
              </w:rPr>
            </w:pP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异型</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宋体" w:hAnsi="宋体"/>
                <w:bCs/>
                <w:szCs w:val="21"/>
              </w:rPr>
            </w:pPr>
            <w:r>
              <w:rPr>
                <w:rFonts w:hint="eastAsia" w:ascii="宋体" w:hAnsi="宋体"/>
                <w:bCs/>
                <w:szCs w:val="21"/>
              </w:rPr>
              <w:t>申请的具体截面型式并静载试验和外形尺寸覆盖生产任务中的最大跨度</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szCs w:val="21"/>
              </w:rPr>
              <w:t>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szCs w:val="21"/>
              </w:rPr>
            </w:pPr>
            <w:r>
              <w:rPr>
                <w:rFonts w:hint="eastAsia" w:ascii="宋体" w:hAnsi="宋体"/>
                <w:kern w:val="0"/>
              </w:rPr>
              <w:t>其中满足静载试验条件的样品梁不应少于3件。</w:t>
            </w:r>
          </w:p>
        </w:tc>
        <w:tc>
          <w:tcPr>
            <w:tcW w:w="16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静载试验样品梁1件；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ascii="宋体" w:hAnsi="宋体"/>
                <w:bCs/>
                <w:szCs w:val="21"/>
              </w:rPr>
            </w:pPr>
            <w:r>
              <w:rPr>
                <w:rFonts w:hint="eastAsia" w:ascii="宋体" w:hAnsi="宋体"/>
                <w:bCs/>
                <w:szCs w:val="21"/>
              </w:rPr>
              <w:t>外形外观样品梁6件。</w:t>
            </w:r>
          </w:p>
        </w:tc>
        <w:tc>
          <w:tcPr>
            <w:tcW w:w="3034"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18"/>
                <w:szCs w:val="18"/>
              </w:rPr>
            </w:pPr>
          </w:p>
        </w:tc>
      </w:tr>
    </w:tbl>
    <w:p>
      <w:pPr>
        <w:pStyle w:val="40"/>
        <w:keepNext w:val="0"/>
        <w:keepLines w:val="0"/>
        <w:pageBreakBefore w:val="0"/>
        <w:widowControl w:val="0"/>
        <w:tabs>
          <w:tab w:val="left" w:pos="1418"/>
        </w:tabs>
        <w:kinsoku/>
        <w:wordWrap/>
        <w:overflowPunct/>
        <w:topLinePunct w:val="0"/>
        <w:autoSpaceDE/>
        <w:autoSpaceDN/>
        <w:bidi w:val="0"/>
        <w:adjustRightInd/>
        <w:snapToGrid/>
        <w:spacing w:before="157" w:beforeLines="50" w:line="336" w:lineRule="auto"/>
        <w:ind w:firstLine="283" w:firstLineChars="135"/>
        <w:textAlignment w:val="auto"/>
        <w:outlineLvl w:val="9"/>
        <w:rPr>
          <w:rFonts w:asciiTheme="minorEastAsia" w:hAnsiTheme="minorEastAsia" w:eastAsiaTheme="minorEastAsia"/>
          <w:color w:val="000000"/>
          <w:kern w:val="0"/>
        </w:rPr>
      </w:pPr>
      <w:r>
        <w:rPr>
          <w:rFonts w:hint="eastAsia" w:asciiTheme="minorEastAsia" w:hAnsiTheme="minorEastAsia" w:eastAsiaTheme="minorEastAsia"/>
          <w:color w:val="000000"/>
          <w:kern w:val="0"/>
        </w:rPr>
        <w:t>注：样品梁/成品梁是指完成终张拉且封端（当桥面防水处理在铺架前完成时，应包括完成防水处理）的成品。</w:t>
      </w:r>
    </w:p>
    <w:p>
      <w:pPr>
        <w:pStyle w:val="40"/>
        <w:keepNext w:val="0"/>
        <w:keepLines w:val="0"/>
        <w:pageBreakBefore w:val="0"/>
        <w:widowControl w:val="0"/>
        <w:tabs>
          <w:tab w:val="left" w:pos="1418"/>
        </w:tabs>
        <w:kinsoku/>
        <w:wordWrap/>
        <w:overflowPunct/>
        <w:topLinePunct w:val="0"/>
        <w:autoSpaceDE/>
        <w:autoSpaceDN/>
        <w:bidi w:val="0"/>
        <w:adjustRightInd/>
        <w:snapToGrid/>
        <w:spacing w:line="336" w:lineRule="auto"/>
        <w:ind w:left="284" w:firstLine="0" w:firstLineChars="0"/>
        <w:textAlignment w:val="auto"/>
        <w:outlineLvl w:val="9"/>
        <w:rPr>
          <w:rFonts w:asciiTheme="minorEastAsia" w:hAnsiTheme="minorEastAsia" w:eastAsiaTheme="minorEastAsia"/>
          <w:color w:val="000000"/>
          <w:kern w:val="0"/>
        </w:rPr>
      </w:pPr>
      <w:r>
        <w:rPr>
          <w:rFonts w:hint="eastAsia" w:asciiTheme="minorEastAsia" w:hAnsiTheme="minorEastAsia" w:eastAsiaTheme="minorEastAsia"/>
          <w:color w:val="000000"/>
          <w:kern w:val="0"/>
        </w:rPr>
        <w:t>“件”为单个单位。对于T梁，1片为1件；对于箱梁，1孔为1件。</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Theme="minorEastAsia" w:hAnsiTheme="minorEastAsia" w:eastAsiaTheme="minorEastAsia"/>
          <w:color w:val="000000"/>
          <w:kern w:val="0"/>
        </w:rPr>
        <w:t>（二）为保证抽样和检测的公正性，抽样人员和检测机构，应是与企业没有利益关系的第三方机构和人员。</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36" w:lineRule="auto"/>
        <w:ind w:firstLineChars="0"/>
        <w:textAlignment w:val="auto"/>
        <w:outlineLvl w:val="9"/>
        <w:rPr>
          <w:rFonts w:ascii="宋体" w:hAnsi="宋体"/>
        </w:rPr>
      </w:pPr>
      <w:r>
        <w:rPr>
          <w:rFonts w:hint="eastAsia" w:asciiTheme="minorEastAsia" w:hAnsiTheme="minorEastAsia" w:eastAsiaTheme="minorEastAsia"/>
          <w:color w:val="000000"/>
          <w:kern w:val="0"/>
        </w:rPr>
        <w:t>需要到生产或</w:t>
      </w:r>
      <w:r>
        <w:rPr>
          <w:rFonts w:hint="eastAsia" w:asciiTheme="minorEastAsia" w:hAnsiTheme="minorEastAsia" w:eastAsiaTheme="minorEastAsia"/>
        </w:rPr>
        <w:t>用户现场进行检测的</w:t>
      </w:r>
      <w:r>
        <w:rPr>
          <w:rFonts w:hint="eastAsia" w:asciiTheme="minorEastAsia" w:hAnsiTheme="minorEastAsia" w:eastAsiaTheme="minorEastAsia"/>
          <w:color w:val="000000"/>
        </w:rPr>
        <w:t>，</w:t>
      </w:r>
      <w:r>
        <w:rPr>
          <w:rFonts w:hint="eastAsia" w:asciiTheme="minorEastAsia" w:hAnsiTheme="minorEastAsia" w:eastAsiaTheme="minorEastAsia"/>
        </w:rPr>
        <w:t>检测机构可</w:t>
      </w:r>
      <w:r>
        <w:rPr>
          <w:rFonts w:hint="eastAsia" w:asciiTheme="minorEastAsia" w:hAnsiTheme="minorEastAsia" w:eastAsiaTheme="minorEastAsia"/>
          <w:kern w:val="0"/>
        </w:rPr>
        <w:t>在</w:t>
      </w:r>
      <w:r>
        <w:rPr>
          <w:rFonts w:hint="eastAsia" w:asciiTheme="minorEastAsia" w:hAnsiTheme="minorEastAsia" w:eastAsiaTheme="minorEastAsia"/>
        </w:rPr>
        <w:t>企业生产或用户现场开展产品检测。</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firstLine="284" w:firstLineChars="0"/>
        <w:textAlignment w:val="auto"/>
        <w:outlineLvl w:val="9"/>
        <w:rPr>
          <w:rFonts w:asciiTheme="minorEastAsia" w:hAnsiTheme="minorEastAsia" w:eastAsiaTheme="minorEastAsia"/>
          <w:color w:val="000000"/>
          <w:kern w:val="0"/>
        </w:rPr>
      </w:pPr>
      <w:r>
        <w:rPr>
          <w:rFonts w:hint="eastAsia" w:asciiTheme="minorEastAsia" w:hAnsiTheme="minorEastAsia" w:eastAsiaTheme="minorEastAsia"/>
          <w:color w:val="000000"/>
          <w:kern w:val="0"/>
        </w:rPr>
        <w:t>证书延续企业应按照延续产品的范围提供产品检测报告，同单元品种产品的政府监督检验合格报告可替代产品质量检验合格报告。</w:t>
      </w:r>
    </w:p>
    <w:p>
      <w:pPr>
        <w:pStyle w:val="40"/>
        <w:keepNext w:val="0"/>
        <w:keepLines w:val="0"/>
        <w:pageBreakBefore w:val="0"/>
        <w:widowControl w:val="0"/>
        <w:numPr>
          <w:ilvl w:val="0"/>
          <w:numId w:val="1"/>
        </w:numPr>
        <w:kinsoku/>
        <w:wordWrap/>
        <w:overflowPunct/>
        <w:topLinePunct w:val="0"/>
        <w:autoSpaceDE/>
        <w:autoSpaceDN/>
        <w:bidi w:val="0"/>
        <w:adjustRightInd/>
        <w:snapToGrid/>
        <w:spacing w:line="336" w:lineRule="auto"/>
        <w:ind w:left="0" w:firstLine="284" w:firstLineChars="0"/>
        <w:textAlignment w:val="auto"/>
        <w:outlineLvl w:val="9"/>
        <w:rPr>
          <w:rFonts w:ascii="宋体" w:hAnsi="宋体"/>
        </w:rPr>
      </w:pPr>
      <w:r>
        <w:rPr>
          <w:rFonts w:hint="eastAsia" w:asciiTheme="minorEastAsia" w:hAnsiTheme="minorEastAsia" w:eastAsiaTheme="minorEastAsia"/>
          <w:color w:val="000000"/>
          <w:kern w:val="0"/>
        </w:rPr>
        <w:t>检测报告判定原则</w:t>
      </w:r>
      <w:r>
        <w:rPr>
          <w:rFonts w:hint="eastAsia" w:asciiTheme="minorEastAsia" w:hAnsiTheme="minorEastAsia" w:eastAsiaTheme="minorEastAsia"/>
          <w:kern w:val="0"/>
        </w:rPr>
        <w:t>：</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（一）产品抽样检测报告应由封面、首页、数据页、判定页、静载试验数据页组成。</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（二）首页中应包含必要的信息，如：产品名称、产品单元和品种、生产企业名称、生产企业生产地址、样品数量、抽样人员、抽样基数、抽样日期、检测日期、检测依据等。</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（三）检测数据页中应有具体梁号并对应每个检测项点的检测数据，静载试验数据页应有静载试验梁号、终张拉日期、试验日期、每一加载等级的荷载值、实测挠跨比、裂纹描述等。</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（四）判定页中应包括每个检测项点的合格率统计和B类不合格数统计。</w:t>
      </w:r>
    </w:p>
    <w:p>
      <w:pPr>
        <w:pStyle w:val="40"/>
        <w:keepNext w:val="0"/>
        <w:keepLines w:val="0"/>
        <w:pageBreakBefore w:val="0"/>
        <w:widowControl w:val="0"/>
        <w:kinsoku/>
        <w:wordWrap/>
        <w:overflowPunct/>
        <w:topLinePunct w:val="0"/>
        <w:autoSpaceDE/>
        <w:autoSpaceDN/>
        <w:bidi w:val="0"/>
        <w:adjustRightInd/>
        <w:snapToGrid/>
        <w:spacing w:line="336" w:lineRule="auto"/>
        <w:ind w:firstLine="283" w:firstLineChars="135"/>
        <w:textAlignment w:val="auto"/>
        <w:outlineLvl w:val="9"/>
        <w:rPr>
          <w:rFonts w:ascii="宋体" w:hAnsi="宋体"/>
        </w:rPr>
      </w:pPr>
      <w:r>
        <w:rPr>
          <w:rFonts w:hint="eastAsia" w:ascii="宋体" w:hAnsi="宋体"/>
        </w:rPr>
        <w:t>（五）应按照附件1的判定方法明确作出检测结论。</w:t>
      </w:r>
    </w:p>
    <w:p>
      <w:pPr>
        <w:pStyle w:val="4"/>
        <w:spacing w:before="100" w:beforeAutospacing="1" w:after="100" w:afterAutospacing="1"/>
        <w:jc w:val="center"/>
        <w:rPr>
          <w:rFonts w:hint="eastAsia"/>
          <w:sz w:val="28"/>
          <w:szCs w:val="28"/>
        </w:rPr>
      </w:pPr>
      <w:r>
        <w:rPr>
          <w:rFonts w:hint="eastAsia"/>
          <w:sz w:val="28"/>
          <w:szCs w:val="28"/>
        </w:rPr>
        <w:t>第五章  企业实地核查</w:t>
      </w:r>
    </w:p>
    <w:p>
      <w:pPr>
        <w:pStyle w:val="40"/>
        <w:numPr>
          <w:ilvl w:val="0"/>
          <w:numId w:val="1"/>
        </w:numPr>
        <w:spacing w:line="360" w:lineRule="auto"/>
        <w:ind w:hanging="278" w:firstLineChars="0"/>
        <w:rPr>
          <w:rFonts w:ascii="宋体" w:hAnsi="宋体"/>
        </w:rPr>
      </w:pPr>
      <w:r>
        <w:rPr>
          <w:rFonts w:hint="eastAsia" w:ascii="宋体" w:hAnsi="宋体"/>
        </w:rPr>
        <w:t>现场实地核查时，企业申请取证的产品应正常生产，相关人员应在岗到位。</w:t>
      </w:r>
    </w:p>
    <w:p>
      <w:pPr>
        <w:pStyle w:val="40"/>
        <w:numPr>
          <w:ilvl w:val="0"/>
          <w:numId w:val="1"/>
        </w:numPr>
        <w:spacing w:line="360" w:lineRule="auto"/>
        <w:ind w:left="0" w:firstLine="422" w:firstLineChars="0"/>
        <w:rPr>
          <w:rFonts w:ascii="宋体" w:hAnsi="宋体"/>
        </w:rPr>
      </w:pPr>
      <w:r>
        <w:rPr>
          <w:rFonts w:hint="eastAsia" w:ascii="宋体" w:hAnsi="宋体"/>
        </w:rPr>
        <w:t>审查组现场对企业申请书及证照等申请材料进行核实。</w:t>
      </w:r>
    </w:p>
    <w:p>
      <w:pPr>
        <w:pStyle w:val="40"/>
        <w:numPr>
          <w:ilvl w:val="0"/>
          <w:numId w:val="1"/>
        </w:numPr>
        <w:spacing w:line="360" w:lineRule="auto"/>
        <w:ind w:left="0" w:firstLine="422" w:firstLineChars="0"/>
        <w:rPr>
          <w:rFonts w:ascii="宋体" w:hAnsi="宋体"/>
        </w:rPr>
      </w:pPr>
      <w:r>
        <w:rPr>
          <w:rFonts w:hint="eastAsia" w:ascii="宋体" w:hAnsi="宋体"/>
        </w:rPr>
        <w:t>审查组现场按照本细则第七条要求企业准备的所有相关材料（见附件2-1～8）以及符合通则要求的合格产品检测报告（产品检测项目见附件1）进行核实。</w:t>
      </w:r>
    </w:p>
    <w:p>
      <w:pPr>
        <w:pStyle w:val="40"/>
        <w:numPr>
          <w:ilvl w:val="0"/>
          <w:numId w:val="1"/>
        </w:numPr>
        <w:spacing w:line="360" w:lineRule="auto"/>
        <w:ind w:left="0" w:firstLine="422" w:firstLineChars="0"/>
        <w:rPr>
          <w:rFonts w:ascii="宋体" w:hAnsi="宋体" w:cs="宋体"/>
          <w:color w:val="000000"/>
        </w:rPr>
      </w:pPr>
      <w:r>
        <w:rPr>
          <w:rFonts w:hint="eastAsia" w:ascii="宋体" w:hAnsi="宋体"/>
          <w:color w:val="000000"/>
          <w:kern w:val="0"/>
        </w:rPr>
        <w:t>审查组现场按照《</w:t>
      </w:r>
      <w:r>
        <w:rPr>
          <w:rFonts w:hint="eastAsia" w:ascii="宋体" w:hAnsi="宋体"/>
        </w:rPr>
        <w:t>预应力混凝土铁路桥简支梁</w:t>
      </w:r>
      <w:r>
        <w:rPr>
          <w:rFonts w:hint="eastAsia" w:ascii="宋体" w:hAnsi="宋体"/>
          <w:color w:val="000000"/>
          <w:kern w:val="0"/>
        </w:rPr>
        <w:t>产品生产许可证企业实地核查办法》(见附件3)进行实地核查，并做好记录，形成《企业实地核查不符合项和建议改进项汇总表》(见附件4)，完成《生产许可证企业实地核查报告》(见附件5)。</w:t>
      </w:r>
    </w:p>
    <w:p>
      <w:pPr>
        <w:pStyle w:val="40"/>
        <w:numPr>
          <w:ilvl w:val="0"/>
          <w:numId w:val="1"/>
        </w:numPr>
        <w:spacing w:line="360" w:lineRule="auto"/>
        <w:ind w:left="0" w:firstLine="422" w:firstLineChars="0"/>
        <w:rPr>
          <w:rFonts w:ascii="宋体" w:hAnsi="宋体" w:cs="宋体"/>
          <w:color w:val="000000"/>
        </w:rPr>
      </w:pPr>
      <w:r>
        <w:rPr>
          <w:rFonts w:hint="eastAsia" w:ascii="宋体" w:hAnsi="宋体" w:cs="宋体"/>
          <w:color w:val="000000"/>
        </w:rPr>
        <w:t>实地核查判定原则</w:t>
      </w:r>
    </w:p>
    <w:p>
      <w:pPr>
        <w:spacing w:line="360" w:lineRule="auto"/>
        <w:ind w:firstLine="420" w:firstLineChars="200"/>
        <w:rPr>
          <w:rFonts w:ascii="宋体" w:hAnsi="宋体"/>
          <w:color w:val="000000"/>
          <w:szCs w:val="21"/>
        </w:rPr>
      </w:pPr>
      <w:r>
        <w:rPr>
          <w:rFonts w:hint="eastAsia" w:ascii="宋体" w:hAnsi="宋体" w:cs="宋体"/>
          <w:color w:val="000000"/>
          <w:szCs w:val="21"/>
        </w:rPr>
        <w:t>（</w:t>
      </w:r>
      <w:r>
        <w:rPr>
          <w:rFonts w:hint="eastAsia" w:ascii="宋体" w:hAnsi="宋体"/>
          <w:color w:val="000000"/>
          <w:szCs w:val="21"/>
        </w:rPr>
        <w:t>一）</w:t>
      </w:r>
      <w:r>
        <w:rPr>
          <w:rFonts w:hint="eastAsia" w:ascii="宋体" w:hAnsi="宋体"/>
          <w:bCs/>
          <w:color w:val="000000"/>
          <w:szCs w:val="21"/>
        </w:rPr>
        <w:t>审查组应对实地</w:t>
      </w:r>
      <w:r>
        <w:rPr>
          <w:rFonts w:hint="eastAsia" w:ascii="宋体" w:hAnsi="宋体"/>
          <w:color w:val="000000"/>
          <w:szCs w:val="21"/>
        </w:rPr>
        <w:t>核查办法的每一个条款进行核查，并根据其满足生产合格产品的能力的程度分别作出符合、不符合和建议改进的判定。</w:t>
      </w:r>
    </w:p>
    <w:p>
      <w:pPr>
        <w:spacing w:line="360" w:lineRule="auto"/>
        <w:ind w:firstLine="420" w:firstLineChars="200"/>
        <w:rPr>
          <w:rFonts w:ascii="宋体" w:hAnsi="宋体"/>
          <w:bCs/>
          <w:color w:val="000000"/>
          <w:szCs w:val="21"/>
        </w:rPr>
      </w:pPr>
      <w:r>
        <w:rPr>
          <w:rFonts w:hint="eastAsia" w:ascii="宋体" w:hAnsi="宋体"/>
          <w:bCs/>
          <w:color w:val="000000"/>
          <w:szCs w:val="21"/>
        </w:rPr>
        <w:t>（二）对判为不符合项的须填写详细的不符合事实，对判为</w:t>
      </w:r>
      <w:r>
        <w:rPr>
          <w:rFonts w:hint="eastAsia" w:ascii="宋体" w:hAnsi="宋体"/>
          <w:bCs/>
          <w:iCs/>
          <w:color w:val="000000"/>
          <w:szCs w:val="21"/>
        </w:rPr>
        <w:t>建议改进项的须填写实地核查发现的可改进的问题。</w:t>
      </w:r>
    </w:p>
    <w:p>
      <w:pPr>
        <w:spacing w:line="360" w:lineRule="auto"/>
        <w:ind w:firstLine="420" w:firstLineChars="200"/>
        <w:rPr>
          <w:rFonts w:ascii="宋体" w:hAnsi="宋体"/>
          <w:bCs/>
          <w:color w:val="000000"/>
          <w:szCs w:val="21"/>
        </w:rPr>
      </w:pPr>
      <w:r>
        <w:rPr>
          <w:rFonts w:hint="eastAsia" w:ascii="宋体" w:hAnsi="宋体"/>
          <w:bCs/>
          <w:color w:val="000000"/>
          <w:szCs w:val="21"/>
        </w:rPr>
        <w:t>（三）核查结论的确定原则：</w:t>
      </w:r>
    </w:p>
    <w:p>
      <w:pPr>
        <w:spacing w:line="360" w:lineRule="auto"/>
        <w:ind w:firstLine="420" w:firstLineChars="200"/>
        <w:rPr>
          <w:rFonts w:ascii="宋体" w:hAnsi="宋体"/>
          <w:color w:val="000000"/>
          <w:szCs w:val="21"/>
        </w:rPr>
      </w:pPr>
      <w:r>
        <w:rPr>
          <w:rFonts w:hint="eastAsia" w:ascii="宋体" w:hAnsi="宋体"/>
          <w:bCs/>
          <w:iCs/>
          <w:szCs w:val="21"/>
        </w:rPr>
        <w:t>实地核查</w:t>
      </w:r>
      <w:r>
        <w:rPr>
          <w:rFonts w:hint="eastAsia" w:ascii="宋体" w:hAnsi="宋体" w:cs="宋体"/>
          <w:szCs w:val="21"/>
        </w:rPr>
        <w:t>按产品品种审查，</w:t>
      </w:r>
      <w:r>
        <w:rPr>
          <w:rFonts w:hint="eastAsia" w:ascii="宋体" w:hAnsi="宋体"/>
          <w:bCs/>
          <w:iCs/>
          <w:szCs w:val="21"/>
        </w:rPr>
        <w:t>未发现不符合，核查结论为合格，否则为不合格</w:t>
      </w:r>
      <w:r>
        <w:rPr>
          <w:rFonts w:hint="eastAsia" w:ascii="宋体" w:hAnsi="宋体"/>
          <w:bCs/>
          <w:szCs w:val="21"/>
        </w:rPr>
        <w:t>。</w:t>
      </w:r>
      <w:r>
        <w:rPr>
          <w:rFonts w:hint="eastAsia" w:ascii="宋体" w:hAnsi="宋体" w:cs="宋体"/>
          <w:szCs w:val="21"/>
        </w:rPr>
        <w:t>核查结论不合格则该产品品种不合格。</w:t>
      </w:r>
    </w:p>
    <w:p>
      <w:pPr>
        <w:pStyle w:val="4"/>
        <w:spacing w:before="100" w:beforeAutospacing="1" w:after="100" w:afterAutospacing="1"/>
        <w:jc w:val="center"/>
        <w:rPr>
          <w:rFonts w:hint="eastAsia"/>
          <w:sz w:val="28"/>
          <w:szCs w:val="28"/>
        </w:rPr>
      </w:pPr>
      <w:bookmarkStart w:id="4" w:name="_Toc524357726"/>
      <w:r>
        <w:rPr>
          <w:rFonts w:hint="eastAsia"/>
          <w:sz w:val="28"/>
          <w:szCs w:val="28"/>
        </w:rPr>
        <w:t>第六章  证书许可范围</w:t>
      </w:r>
      <w:bookmarkEnd w:id="4"/>
    </w:p>
    <w:p>
      <w:pPr>
        <w:pStyle w:val="40"/>
        <w:numPr>
          <w:ilvl w:val="0"/>
          <w:numId w:val="1"/>
        </w:numPr>
        <w:tabs>
          <w:tab w:val="left" w:pos="1470"/>
        </w:tabs>
        <w:spacing w:line="360" w:lineRule="auto"/>
        <w:ind w:left="0" w:firstLine="422" w:firstLineChars="0"/>
        <w:rPr>
          <w:rFonts w:cs="宋体" w:asciiTheme="minorEastAsia" w:hAnsiTheme="minorEastAsia" w:eastAsiaTheme="minorEastAsia"/>
          <w:color w:val="000000"/>
        </w:rPr>
      </w:pPr>
      <w:r>
        <w:rPr>
          <w:rFonts w:hint="eastAsia" w:asciiTheme="minorEastAsia" w:hAnsiTheme="minorEastAsia" w:eastAsiaTheme="minorEastAsia"/>
          <w:color w:val="000000"/>
          <w:kern w:val="0"/>
        </w:rPr>
        <w:t>企业申请的发证产品通过</w:t>
      </w:r>
      <w:r>
        <w:rPr>
          <w:rFonts w:hint="eastAsia" w:asciiTheme="minorEastAsia" w:hAnsiTheme="minorEastAsia" w:eastAsiaTheme="minorEastAsia"/>
          <w:bCs/>
          <w:color w:val="000000"/>
        </w:rPr>
        <w:t>材料核实</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rPr>
        <w:t>现场</w:t>
      </w:r>
      <w:r>
        <w:rPr>
          <w:rFonts w:hint="eastAsia" w:asciiTheme="minorEastAsia" w:hAnsiTheme="minorEastAsia" w:eastAsiaTheme="minorEastAsia"/>
          <w:color w:val="000000"/>
          <w:kern w:val="0"/>
        </w:rPr>
        <w:t>实地核查合格、符合通则和本细则规定要求的，由审查组织单位拟确定产品生产许可范围。</w:t>
      </w:r>
    </w:p>
    <w:p>
      <w:pPr>
        <w:pStyle w:val="40"/>
        <w:numPr>
          <w:ilvl w:val="0"/>
          <w:numId w:val="1"/>
        </w:numPr>
        <w:tabs>
          <w:tab w:val="left" w:pos="1470"/>
        </w:tabs>
        <w:spacing w:line="360" w:lineRule="auto"/>
        <w:ind w:left="0" w:firstLine="422" w:firstLineChars="0"/>
        <w:rPr>
          <w:rFonts w:cs="宋体" w:asciiTheme="minorEastAsia" w:hAnsiTheme="minorEastAsia" w:eastAsiaTheme="minorEastAsia"/>
        </w:rPr>
      </w:pPr>
      <w:r>
        <w:rPr>
          <w:rFonts w:hint="eastAsia" w:asciiTheme="minorEastAsia" w:hAnsiTheme="minorEastAsia" w:eastAsiaTheme="minorEastAsia"/>
          <w:color w:val="000000"/>
          <w:kern w:val="0"/>
        </w:rPr>
        <w:t>产品生产许可范围的判定原则及示例：</w:t>
      </w:r>
    </w:p>
    <w:p>
      <w:pPr>
        <w:pStyle w:val="40"/>
        <w:tabs>
          <w:tab w:val="left" w:pos="1418"/>
        </w:tabs>
        <w:spacing w:line="360" w:lineRule="auto"/>
        <w:rPr>
          <w:rFonts w:asciiTheme="minorEastAsia" w:hAnsiTheme="minorEastAsia" w:eastAsiaTheme="minorEastAsia"/>
          <w:color w:val="FF0000"/>
          <w:kern w:val="0"/>
        </w:rPr>
      </w:pPr>
      <w:r>
        <w:rPr>
          <w:rFonts w:hint="eastAsia" w:asciiTheme="minorEastAsia" w:hAnsiTheme="minorEastAsia" w:eastAsiaTheme="minorEastAsia"/>
          <w:color w:val="000000"/>
        </w:rPr>
        <w:t>（一）</w:t>
      </w:r>
      <w:r>
        <w:rPr>
          <w:rFonts w:hint="eastAsia" w:asciiTheme="minorEastAsia" w:hAnsiTheme="minorEastAsia" w:eastAsiaTheme="minorEastAsia"/>
          <w:kern w:val="0"/>
        </w:rPr>
        <w:t>产品单元经实地核查合格，则证书许可范围为该产品单元内抽样检测的产品；实地核查不合格，则产品单元不合格。</w:t>
      </w:r>
    </w:p>
    <w:p>
      <w:pPr>
        <w:pStyle w:val="40"/>
        <w:tabs>
          <w:tab w:val="left" w:pos="1418"/>
        </w:tabs>
        <w:spacing w:line="360" w:lineRule="auto"/>
        <w:rPr>
          <w:rFonts w:asciiTheme="minorEastAsia" w:hAnsiTheme="minorEastAsia" w:eastAsiaTheme="minorEastAsia"/>
          <w:kern w:val="0"/>
        </w:rPr>
      </w:pPr>
      <w:r>
        <w:rPr>
          <w:rFonts w:hint="eastAsia" w:asciiTheme="minorEastAsia" w:hAnsiTheme="minorEastAsia" w:eastAsiaTheme="minorEastAsia"/>
          <w:color w:val="000000"/>
        </w:rPr>
        <w:t>（二）</w:t>
      </w:r>
      <w:r>
        <w:rPr>
          <w:rFonts w:hint="eastAsia" w:asciiTheme="minorEastAsia" w:hAnsiTheme="minorEastAsia" w:eastAsiaTheme="minorEastAsia"/>
          <w:kern w:val="0"/>
        </w:rPr>
        <w:t>产品单元实地核查合格，则许可范围为该代表样品可覆盖的范围，举例：企业获取后张法预应力混凝土铁路桥简支梁产品 T型：跨度24m生产许可证证书后，可生产24m、20m、16m跨度的后张法T型简支梁产品，但不可生产跨度32m的T型简支梁产品。</w:t>
      </w:r>
    </w:p>
    <w:p>
      <w:pPr>
        <w:adjustRightInd w:val="0"/>
        <w:snapToGrid w:val="0"/>
        <w:spacing w:line="360" w:lineRule="auto"/>
        <w:ind w:firstLine="420" w:firstLineChars="200"/>
        <w:rPr>
          <w:rFonts w:asciiTheme="minorEastAsia" w:hAnsiTheme="minorEastAsia" w:eastAsiaTheme="minorEastAsia"/>
          <w:color w:val="000000"/>
          <w:kern w:val="0"/>
          <w:szCs w:val="21"/>
        </w:rPr>
      </w:pPr>
      <w:r>
        <w:rPr>
          <w:rFonts w:hint="eastAsia" w:asciiTheme="minorEastAsia" w:hAnsiTheme="minorEastAsia" w:eastAsiaTheme="minorEastAsia"/>
          <w:kern w:val="0"/>
          <w:szCs w:val="21"/>
        </w:rPr>
        <w:t>证书产品明细内容示例如表</w:t>
      </w:r>
      <w:r>
        <w:rPr>
          <w:rFonts w:hint="eastAsia" w:asciiTheme="minorEastAsia" w:hAnsiTheme="minorEastAsia" w:eastAsiaTheme="minorEastAsia"/>
          <w:szCs w:val="21"/>
        </w:rPr>
        <w:t>5</w:t>
      </w:r>
      <w:r>
        <w:rPr>
          <w:rFonts w:hint="eastAsia" w:asciiTheme="minorEastAsia" w:hAnsiTheme="minorEastAsia" w:eastAsiaTheme="minorEastAsia"/>
          <w:color w:val="000000"/>
          <w:kern w:val="0"/>
          <w:szCs w:val="21"/>
        </w:rPr>
        <w:t>。</w:t>
      </w:r>
    </w:p>
    <w:p>
      <w:pPr>
        <w:keepNext w:val="0"/>
        <w:keepLines w:val="0"/>
        <w:pageBreakBefore w:val="0"/>
        <w:widowControl w:val="0"/>
        <w:kinsoku/>
        <w:wordWrap/>
        <w:overflowPunct/>
        <w:topLinePunct w:val="0"/>
        <w:autoSpaceDE/>
        <w:autoSpaceDN/>
        <w:bidi w:val="0"/>
        <w:adjustRightInd/>
        <w:snapToGrid/>
        <w:spacing w:after="157" w:afterLines="50" w:line="420" w:lineRule="exact"/>
        <w:ind w:firstLine="422" w:firstLineChars="200"/>
        <w:jc w:val="center"/>
        <w:textAlignment w:val="auto"/>
        <w:outlineLvl w:val="9"/>
        <w:rPr>
          <w:rFonts w:ascii="宋体" w:hAnsi="宋体"/>
          <w:b/>
          <w:color w:val="000000"/>
        </w:rPr>
      </w:pPr>
      <w:r>
        <w:rPr>
          <w:rFonts w:hint="eastAsia" w:ascii="宋体" w:hAnsi="宋体"/>
          <w:b/>
          <w:color w:val="000000"/>
        </w:rPr>
        <w:t>表5  证书产品明细内容示例</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22"/>
        <w:gridCol w:w="1404"/>
        <w:gridCol w:w="1413"/>
        <w:gridCol w:w="1929"/>
        <w:gridCol w:w="1928"/>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tblHeader/>
          <w:jc w:val="center"/>
        </w:trPr>
        <w:tc>
          <w:tcPr>
            <w:tcW w:w="422"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示例</w:t>
            </w:r>
          </w:p>
        </w:tc>
        <w:tc>
          <w:tcPr>
            <w:tcW w:w="1404"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产品单元</w:t>
            </w:r>
          </w:p>
        </w:tc>
        <w:tc>
          <w:tcPr>
            <w:tcW w:w="1413"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企业申请内容</w:t>
            </w:r>
          </w:p>
        </w:tc>
        <w:tc>
          <w:tcPr>
            <w:tcW w:w="1929"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检测报告内容</w:t>
            </w:r>
          </w:p>
        </w:tc>
        <w:tc>
          <w:tcPr>
            <w:tcW w:w="1928"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实地核查结果</w:t>
            </w:r>
          </w:p>
        </w:tc>
        <w:tc>
          <w:tcPr>
            <w:tcW w:w="2190" w:type="dxa"/>
            <w:vAlign w:val="center"/>
          </w:tcPr>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hint="eastAsia" w:ascii="宋体" w:hAnsi="宋体"/>
                <w:b/>
                <w:kern w:val="0"/>
              </w:rPr>
            </w:pPr>
            <w:r>
              <w:rPr>
                <w:rFonts w:hint="eastAsia" w:ascii="宋体" w:hAnsi="宋体"/>
                <w:b/>
                <w:kern w:val="0"/>
              </w:rPr>
              <w:t>确认证书产品</w:t>
            </w:r>
          </w:p>
          <w:p>
            <w:pPr>
              <w:keepNext w:val="0"/>
              <w:keepLines w:val="0"/>
              <w:pageBreakBefore w:val="0"/>
              <w:widowControl w:val="0"/>
              <w:kinsoku/>
              <w:wordWrap/>
              <w:overflowPunct/>
              <w:topLinePunct w:val="0"/>
              <w:autoSpaceDE/>
              <w:autoSpaceDN/>
              <w:bidi w:val="0"/>
              <w:spacing w:line="340" w:lineRule="exact"/>
              <w:jc w:val="center"/>
              <w:textAlignment w:val="auto"/>
              <w:outlineLvl w:val="9"/>
              <w:rPr>
                <w:rFonts w:ascii="宋体" w:hAnsi="宋体"/>
                <w:b/>
                <w:kern w:val="0"/>
              </w:rPr>
            </w:pPr>
            <w:r>
              <w:rPr>
                <w:rFonts w:hint="eastAsia" w:ascii="宋体" w:hAnsi="宋体"/>
                <w:b/>
                <w:kern w:val="0"/>
              </w:rPr>
              <w:t>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1</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2</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箱型：单线</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3</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 T型：</w:t>
            </w:r>
            <w:r>
              <w:rPr>
                <w:rFonts w:hint="eastAsia" w:asciiTheme="minorEastAsia" w:hAnsiTheme="minorEastAsia" w:eastAsiaTheme="minorEastAsia"/>
                <w:szCs w:val="21"/>
              </w:rPr>
              <w:t xml:space="preserve">跨度32m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4</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后张法预应力混凝土铁路桥箱型简支梁产品</w:t>
            </w:r>
            <w:r>
              <w:rPr>
                <w:rFonts w:hint="eastAsia" w:asciiTheme="minorEastAsia" w:hAnsiTheme="minorEastAsia" w:eastAsiaTheme="minorEastAsia"/>
                <w:szCs w:val="21"/>
              </w:rPr>
              <w:t>审查合格，</w:t>
            </w:r>
            <w:r>
              <w:rPr>
                <w:rFonts w:hint="eastAsia" w:asciiTheme="minorEastAsia" w:hAnsiTheme="minorEastAsia" w:eastAsiaTheme="minorEastAsia"/>
                <w:kern w:val="0"/>
                <w:szCs w:val="21"/>
              </w:rPr>
              <w:t>后张法预应力混凝土铁路桥T型简支梁产品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 箱型：双线、单线、多线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 T型：</w:t>
            </w:r>
            <w:r>
              <w:rPr>
                <w:rFonts w:hint="eastAsia" w:asciiTheme="minorEastAsia" w:hAnsiTheme="minorEastAsia" w:eastAsiaTheme="minorEastAsia"/>
                <w:szCs w:val="21"/>
              </w:rPr>
              <w:t>跨度32m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5</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后张法预应力混凝土铁路桥箱型简支梁产品</w:t>
            </w:r>
            <w:r>
              <w:rPr>
                <w:rFonts w:hint="eastAsia" w:asciiTheme="minorEastAsia" w:hAnsiTheme="minorEastAsia" w:eastAsiaTheme="minorEastAsia"/>
                <w:szCs w:val="21"/>
              </w:rPr>
              <w:t>审查合格，</w:t>
            </w:r>
            <w:r>
              <w:rPr>
                <w:rFonts w:hint="eastAsia" w:asciiTheme="minorEastAsia" w:hAnsiTheme="minorEastAsia" w:eastAsiaTheme="minorEastAsia"/>
                <w:kern w:val="0"/>
                <w:szCs w:val="21"/>
              </w:rPr>
              <w:t>后张法预应力混凝土铁路桥T型简支梁产品</w:t>
            </w:r>
            <w:r>
              <w:rPr>
                <w:rFonts w:hint="eastAsia" w:asciiTheme="minorEastAsia" w:hAnsiTheme="minorEastAsia" w:eastAsiaTheme="minorEastAsia"/>
                <w:szCs w:val="21"/>
              </w:rPr>
              <w:t>审查不合格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后张法预应力混凝土铁路桥简支梁产品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6</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异型：槽型</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覆盖</w:t>
            </w:r>
            <w:r>
              <w:rPr>
                <w:rFonts w:hint="eastAsia" w:ascii="宋体" w:hAnsi="宋体"/>
                <w:bCs/>
                <w:szCs w:val="21"/>
              </w:rPr>
              <w:t>生产任务中的最大跨度的静载试验和外形尺寸检测的槽型梁合格</w:t>
            </w:r>
            <w:r>
              <w:rPr>
                <w:rFonts w:hint="eastAsia" w:asciiTheme="minorEastAsia" w:hAnsiTheme="minorEastAsia" w:eastAsiaTheme="minorEastAsia"/>
                <w:kern w:val="0"/>
                <w:szCs w:val="21"/>
              </w:rPr>
              <w:t>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后张法预应力混凝土铁路桥简支梁产品 异型：</w:t>
            </w:r>
            <w:r>
              <w:rPr>
                <w:rFonts w:hint="eastAsia" w:asciiTheme="minorEastAsia" w:hAnsiTheme="minorEastAsia" w:eastAsiaTheme="minorEastAsia"/>
                <w:szCs w:val="21"/>
              </w:rPr>
              <w:t>槽型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7</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8</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箱型：单线</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9</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 T型：</w:t>
            </w:r>
            <w:r>
              <w:rPr>
                <w:rFonts w:hint="eastAsia" w:asciiTheme="minorEastAsia" w:hAnsiTheme="minorEastAsia" w:eastAsiaTheme="minorEastAsia"/>
                <w:szCs w:val="21"/>
              </w:rPr>
              <w:t xml:space="preserve">跨度32m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10</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先张法预应力混凝土铁路桥箱型简支梁产品</w:t>
            </w:r>
            <w:r>
              <w:rPr>
                <w:rFonts w:hint="eastAsia" w:asciiTheme="minorEastAsia" w:hAnsiTheme="minorEastAsia" w:eastAsiaTheme="minorEastAsia"/>
                <w:szCs w:val="21"/>
              </w:rPr>
              <w:t>审查合格，</w:t>
            </w:r>
            <w:r>
              <w:rPr>
                <w:rFonts w:hint="eastAsia" w:asciiTheme="minorEastAsia" w:hAnsiTheme="minorEastAsia" w:eastAsiaTheme="minorEastAsia"/>
                <w:kern w:val="0"/>
                <w:szCs w:val="21"/>
              </w:rPr>
              <w:t>先张法预应力混凝土铁路桥T型简支梁产品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 箱型：双线、单线、多线</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 T型：</w:t>
            </w:r>
            <w:r>
              <w:rPr>
                <w:rFonts w:hint="eastAsia" w:asciiTheme="minorEastAsia" w:hAnsiTheme="minorEastAsia" w:eastAsiaTheme="minorEastAsia"/>
                <w:szCs w:val="21"/>
              </w:rPr>
              <w:t>跨度32m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11</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箱型：双线</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T型：跨度32m</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任意线数的箱型梁合格检测报告，包含32m跨度静载试验和32m跨度外形尺寸检测的T型梁合格检测报告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先张法预应力混凝土铁路桥箱型简支梁产品</w:t>
            </w:r>
            <w:r>
              <w:rPr>
                <w:rFonts w:hint="eastAsia" w:asciiTheme="minorEastAsia" w:hAnsiTheme="minorEastAsia" w:eastAsiaTheme="minorEastAsia"/>
                <w:szCs w:val="21"/>
              </w:rPr>
              <w:t>审查合格，</w:t>
            </w:r>
            <w:r>
              <w:rPr>
                <w:rFonts w:hint="eastAsia" w:asciiTheme="minorEastAsia" w:hAnsiTheme="minorEastAsia" w:eastAsiaTheme="minorEastAsia"/>
                <w:kern w:val="0"/>
                <w:szCs w:val="21"/>
              </w:rPr>
              <w:t>先张法预应力混凝土铁路桥T型简支梁产品</w:t>
            </w:r>
            <w:r>
              <w:rPr>
                <w:rFonts w:hint="eastAsia" w:asciiTheme="minorEastAsia" w:hAnsiTheme="minorEastAsia" w:eastAsiaTheme="minorEastAsia"/>
                <w:szCs w:val="21"/>
              </w:rPr>
              <w:t>审查不合格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kern w:val="0"/>
                <w:szCs w:val="21"/>
              </w:rPr>
              <w:t>先张法预应力混凝土铁路桥简支梁产品 箱型：双线、单线、多线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12</w:t>
            </w:r>
          </w:p>
        </w:tc>
        <w:tc>
          <w:tcPr>
            <w:tcW w:w="14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w:t>
            </w:r>
          </w:p>
        </w:tc>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szCs w:val="21"/>
              </w:rPr>
            </w:pPr>
            <w:r>
              <w:rPr>
                <w:rFonts w:hint="eastAsia" w:asciiTheme="minorEastAsia" w:hAnsiTheme="minorEastAsia" w:eastAsiaTheme="minorEastAsia"/>
                <w:szCs w:val="21"/>
              </w:rPr>
              <w:t>异型：槽型</w:t>
            </w:r>
          </w:p>
        </w:tc>
        <w:tc>
          <w:tcPr>
            <w:tcW w:w="192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覆盖</w:t>
            </w:r>
            <w:r>
              <w:rPr>
                <w:rFonts w:hint="eastAsia" w:ascii="宋体" w:hAnsi="宋体"/>
                <w:bCs/>
                <w:szCs w:val="21"/>
              </w:rPr>
              <w:t>生产任务中的最大跨度的静载试验和外形尺寸检测的槽型梁合格</w:t>
            </w:r>
            <w:r>
              <w:rPr>
                <w:rFonts w:hint="eastAsia" w:asciiTheme="minorEastAsia" w:hAnsiTheme="minorEastAsia" w:eastAsiaTheme="minorEastAsia"/>
                <w:kern w:val="0"/>
                <w:szCs w:val="21"/>
              </w:rPr>
              <w:t>检测报告</w:t>
            </w:r>
          </w:p>
        </w:tc>
        <w:tc>
          <w:tcPr>
            <w:tcW w:w="1928"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w:t>
            </w:r>
            <w:r>
              <w:rPr>
                <w:rFonts w:hint="eastAsia" w:asciiTheme="minorEastAsia" w:hAnsiTheme="minorEastAsia" w:eastAsiaTheme="minorEastAsia"/>
                <w:szCs w:val="21"/>
              </w:rPr>
              <w:t>审查合格</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Theme="minorEastAsia" w:hAnsiTheme="minorEastAsia" w:eastAsiaTheme="minorEastAsia"/>
                <w:kern w:val="0"/>
                <w:szCs w:val="21"/>
              </w:rPr>
            </w:pPr>
            <w:r>
              <w:rPr>
                <w:rFonts w:hint="eastAsia" w:asciiTheme="minorEastAsia" w:hAnsiTheme="minorEastAsia" w:eastAsiaTheme="minorEastAsia"/>
                <w:kern w:val="0"/>
                <w:szCs w:val="21"/>
              </w:rPr>
              <w:t>先张法预应力混凝土铁路桥简支梁产品 异型：</w:t>
            </w:r>
            <w:r>
              <w:rPr>
                <w:rFonts w:hint="eastAsia" w:asciiTheme="minorEastAsia" w:hAnsiTheme="minorEastAsia" w:eastAsiaTheme="minorEastAsia"/>
                <w:szCs w:val="21"/>
              </w:rPr>
              <w:t>槽型</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20" w:firstLineChars="200"/>
        <w:textAlignment w:val="auto"/>
        <w:outlineLvl w:val="9"/>
        <w:rPr>
          <w:rFonts w:ascii="宋体" w:hAnsi="宋体"/>
          <w:szCs w:val="21"/>
        </w:rPr>
      </w:pPr>
      <w:r>
        <w:rPr>
          <w:rFonts w:hint="eastAsia" w:ascii="宋体" w:hAnsi="宋体"/>
          <w:kern w:val="0"/>
          <w:szCs w:val="21"/>
        </w:rPr>
        <w:t>注：</w:t>
      </w:r>
      <w:r>
        <w:rPr>
          <w:rFonts w:hint="eastAsia" w:ascii="宋体" w:hAnsi="宋体"/>
          <w:szCs w:val="21"/>
        </w:rPr>
        <w:t>如果企业申请的产品名称与细则中的产品单元名称不一致时，按细则中的产品单元名称发证。</w:t>
      </w:r>
    </w:p>
    <w:p>
      <w:pPr>
        <w:pStyle w:val="4"/>
        <w:spacing w:before="100" w:beforeAutospacing="1" w:after="100" w:afterAutospacing="1"/>
        <w:jc w:val="center"/>
        <w:rPr>
          <w:rFonts w:hint="eastAsia"/>
          <w:sz w:val="28"/>
          <w:szCs w:val="28"/>
        </w:rPr>
      </w:pPr>
      <w:bookmarkStart w:id="5" w:name="_Toc524357727"/>
      <w:r>
        <w:rPr>
          <w:rFonts w:hint="eastAsia"/>
          <w:sz w:val="28"/>
          <w:szCs w:val="28"/>
        </w:rPr>
        <w:t>第七章  附则</w:t>
      </w:r>
      <w:bookmarkEnd w:id="5"/>
    </w:p>
    <w:p>
      <w:pPr>
        <w:pStyle w:val="40"/>
        <w:numPr>
          <w:ilvl w:val="0"/>
          <w:numId w:val="1"/>
        </w:numPr>
        <w:spacing w:line="360" w:lineRule="auto"/>
        <w:ind w:left="0" w:firstLine="422" w:firstLineChars="0"/>
        <w:rPr>
          <w:rFonts w:ascii="宋体" w:hAnsi="宋体"/>
          <w:color w:val="000000"/>
        </w:rPr>
      </w:pPr>
      <w:r>
        <w:rPr>
          <w:rFonts w:hint="eastAsia" w:ascii="宋体" w:hAnsi="宋体"/>
          <w:color w:val="000000"/>
        </w:rPr>
        <w:t>全国工业产品生产许可证办公室铁路专用产品审查</w:t>
      </w:r>
      <w:r>
        <w:rPr>
          <w:rFonts w:hint="eastAsia" w:ascii="宋体" w:hAnsi="宋体"/>
        </w:rPr>
        <w:t>部联</w:t>
      </w:r>
      <w:r>
        <w:rPr>
          <w:rFonts w:hint="eastAsia" w:ascii="宋体" w:hAnsi="宋体"/>
          <w:color w:val="000000"/>
        </w:rPr>
        <w:t>系方式</w:t>
      </w:r>
    </w:p>
    <w:p>
      <w:pPr>
        <w:tabs>
          <w:tab w:val="left" w:pos="1470"/>
        </w:tabs>
        <w:spacing w:line="360" w:lineRule="auto"/>
        <w:ind w:firstLine="420" w:firstLineChars="200"/>
        <w:rPr>
          <w:rFonts w:ascii="宋体" w:hAnsi="宋体"/>
          <w:szCs w:val="21"/>
        </w:rPr>
      </w:pPr>
      <w:r>
        <w:rPr>
          <w:rFonts w:hint="eastAsia" w:ascii="宋体" w:hAnsi="宋体"/>
          <w:color w:val="000000"/>
          <w:szCs w:val="21"/>
        </w:rPr>
        <w:t>全国工业产品生产许可证办公室铁路专用产品审查</w:t>
      </w:r>
      <w:r>
        <w:rPr>
          <w:rFonts w:hint="eastAsia" w:ascii="宋体" w:hAnsi="宋体"/>
          <w:szCs w:val="21"/>
        </w:rPr>
        <w:t>部设在中国铁道科学研究院标准计量研究所</w:t>
      </w:r>
    </w:p>
    <w:p>
      <w:pPr>
        <w:spacing w:line="360" w:lineRule="auto"/>
        <w:rPr>
          <w:rFonts w:ascii="宋体" w:hAnsi="宋体"/>
          <w:szCs w:val="21"/>
        </w:rPr>
      </w:pPr>
      <w:r>
        <w:rPr>
          <w:rFonts w:hint="eastAsia" w:ascii="宋体" w:hAnsi="宋体"/>
          <w:szCs w:val="21"/>
        </w:rPr>
        <w:t xml:space="preserve">    地    址：北京市西直门外大柳树路2</w:t>
      </w:r>
      <w:r>
        <w:rPr>
          <w:rFonts w:hint="eastAsia"/>
          <w:szCs w:val="21"/>
        </w:rPr>
        <w:t>号</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邮政编码：100081</w:t>
      </w:r>
    </w:p>
    <w:p>
      <w:pPr>
        <w:spacing w:line="360" w:lineRule="auto"/>
        <w:ind w:firstLine="420" w:firstLineChars="200"/>
        <w:rPr>
          <w:rFonts w:ascii="宋体" w:hAnsi="宋体"/>
          <w:szCs w:val="21"/>
        </w:rPr>
      </w:pPr>
      <w:r>
        <w:rPr>
          <w:rFonts w:hint="eastAsia" w:ascii="宋体" w:hAnsi="宋体"/>
          <w:szCs w:val="21"/>
        </w:rPr>
        <w:t>电    话：010-51893336、51849305</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传    真：010-</w:t>
      </w:r>
      <w:r>
        <w:rPr>
          <w:rFonts w:hint="eastAsia" w:ascii="宋体" w:hAnsi="宋体"/>
          <w:szCs w:val="21"/>
        </w:rPr>
        <w:t>51893336</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电子信箱：cxd@rails.cn</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联 系 人：李湛、陈晓东</w:t>
      </w:r>
    </w:p>
    <w:p>
      <w:pPr>
        <w:pStyle w:val="40"/>
        <w:numPr>
          <w:ilvl w:val="0"/>
          <w:numId w:val="1"/>
        </w:numPr>
        <w:spacing w:line="360" w:lineRule="auto"/>
        <w:ind w:left="0" w:firstLine="422" w:firstLineChars="0"/>
        <w:rPr>
          <w:rFonts w:ascii="宋体" w:hAnsi="宋体"/>
          <w:spacing w:val="-2"/>
          <w:kern w:val="0"/>
        </w:rPr>
      </w:pPr>
      <w:r>
        <w:rPr>
          <w:rFonts w:hint="eastAsia" w:ascii="宋体" w:hAnsi="宋体"/>
          <w:spacing w:val="-2"/>
          <w:kern w:val="0"/>
        </w:rPr>
        <w:t>本细则由国家市场监督管理总局负责解释。</w:t>
      </w:r>
    </w:p>
    <w:p>
      <w:pPr>
        <w:pStyle w:val="40"/>
        <w:numPr>
          <w:ilvl w:val="0"/>
          <w:numId w:val="1"/>
        </w:numPr>
        <w:spacing w:line="360" w:lineRule="auto"/>
        <w:ind w:left="0" w:firstLine="422" w:firstLineChars="0"/>
        <w:rPr>
          <w:rFonts w:ascii="宋体" w:hAnsi="宋体" w:cs="宋体"/>
          <w:color w:val="000000"/>
        </w:rPr>
      </w:pPr>
      <w:r>
        <w:rPr>
          <w:rFonts w:hint="eastAsia" w:ascii="宋体" w:hAnsi="宋体"/>
        </w:rPr>
        <w:t>本细则</w:t>
      </w:r>
      <w:r>
        <w:rPr>
          <w:rFonts w:hint="eastAsia" w:ascii="宋体" w:hAnsi="宋体"/>
          <w:color w:val="000000"/>
        </w:rPr>
        <w:t>自2018年  月  日起实施，原《</w:t>
      </w:r>
      <w:r>
        <w:rPr>
          <w:rFonts w:hint="eastAsia" w:ascii="宋体" w:hAnsi="宋体" w:cs="宋体"/>
          <w:color w:val="000000"/>
        </w:rPr>
        <w:t>预应力混凝土铁路桥简支梁</w:t>
      </w:r>
      <w:r>
        <w:rPr>
          <w:rFonts w:hint="eastAsia" w:ascii="宋体" w:hAnsi="宋体"/>
          <w:color w:val="000000"/>
        </w:rPr>
        <w:t>产品生产许可证实施细则》作废。</w:t>
      </w:r>
    </w:p>
    <w:p>
      <w:pPr>
        <w:pStyle w:val="4"/>
        <w:spacing w:line="360" w:lineRule="auto"/>
        <w:ind w:left="3104" w:hanging="3104" w:hangingChars="970"/>
        <w:rPr>
          <w:rFonts w:ascii="宋体" w:hAnsi="宋体"/>
          <w:b w:val="0"/>
          <w:sz w:val="32"/>
        </w:rPr>
      </w:pPr>
      <w:bookmarkStart w:id="6" w:name="_Toc262641435"/>
      <w:r>
        <w:rPr>
          <w:rFonts w:ascii="宋体" w:hAnsi="宋体"/>
          <w:b w:val="0"/>
          <w:sz w:val="32"/>
        </w:rPr>
        <w:br w:type="page"/>
      </w:r>
    </w:p>
    <w:p>
      <w:pPr>
        <w:pStyle w:val="4"/>
        <w:rPr>
          <w:rFonts w:asciiTheme="minorEastAsia" w:hAnsiTheme="minorEastAsia" w:eastAsiaTheme="minorEastAsia"/>
        </w:rPr>
      </w:pPr>
      <w:bookmarkStart w:id="7" w:name="_Toc524357728"/>
      <w:r>
        <w:rPr>
          <w:rFonts w:hint="eastAsia" w:asciiTheme="minorEastAsia" w:hAnsiTheme="minorEastAsia" w:eastAsiaTheme="minorEastAsia"/>
        </w:rPr>
        <w:t>附件1</w:t>
      </w:r>
    </w:p>
    <w:p>
      <w:pPr>
        <w:jc w:val="center"/>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预应力混凝土铁路桥简支梁产品检验项目、</w:t>
      </w:r>
    </w:p>
    <w:p>
      <w:pPr>
        <w:jc w:val="center"/>
        <w:rPr>
          <w:rFonts w:asciiTheme="minorEastAsia" w:hAnsiTheme="minorEastAsia" w:eastAsiaTheme="minorEastAsia"/>
          <w:szCs w:val="30"/>
        </w:rPr>
      </w:pPr>
      <w:r>
        <w:rPr>
          <w:rFonts w:hint="eastAsia" w:asciiTheme="minorEastAsia" w:hAnsiTheme="minorEastAsia" w:eastAsiaTheme="minorEastAsia"/>
          <w:b/>
          <w:sz w:val="30"/>
          <w:szCs w:val="30"/>
        </w:rPr>
        <w:t>依据标准及重要度分级表</w:t>
      </w:r>
      <w:bookmarkEnd w:id="7"/>
    </w:p>
    <w:p>
      <w:pPr>
        <w:pStyle w:val="40"/>
        <w:spacing w:line="360" w:lineRule="auto"/>
        <w:ind w:left="422" w:firstLine="0" w:firstLineChars="0"/>
        <w:rPr>
          <w:rFonts w:ascii="宋体" w:hAnsi="宋体" w:cs="宋体"/>
          <w:color w:val="000000"/>
        </w:rPr>
      </w:pPr>
    </w:p>
    <w:p>
      <w:pPr>
        <w:pStyle w:val="40"/>
        <w:spacing w:line="360" w:lineRule="auto"/>
        <w:ind w:left="422" w:firstLine="0" w:firstLineChars="0"/>
        <w:rPr>
          <w:rFonts w:ascii="宋体" w:hAnsi="宋体" w:cs="宋体"/>
          <w:color w:val="000000"/>
        </w:rPr>
      </w:pPr>
      <w:r>
        <w:rPr>
          <w:rFonts w:hint="eastAsia" w:ascii="宋体" w:hAnsi="宋体" w:cs="宋体"/>
          <w:color w:val="000000"/>
        </w:rPr>
        <w:t>附件1-1 后张法/先张法预应力混凝土T型简支梁产品检验项目、依据标准及重要度分级表</w:t>
      </w:r>
    </w:p>
    <w:p>
      <w:pPr>
        <w:pStyle w:val="40"/>
        <w:spacing w:line="360" w:lineRule="auto"/>
        <w:ind w:left="422" w:firstLine="0" w:firstLineChars="0"/>
        <w:rPr>
          <w:rFonts w:ascii="宋体" w:hAnsi="宋体" w:cs="宋体"/>
          <w:color w:val="000000"/>
        </w:rPr>
      </w:pPr>
      <w:r>
        <w:rPr>
          <w:rFonts w:hint="eastAsia" w:ascii="宋体" w:hAnsi="宋体" w:cs="宋体"/>
          <w:color w:val="000000"/>
        </w:rPr>
        <w:t>附件1-2 后张法/先张法预应力混凝土箱型简支梁产品检验项目、依据标准及重要度分级表</w:t>
      </w:r>
    </w:p>
    <w:p>
      <w:pPr>
        <w:widowControl/>
        <w:jc w:val="left"/>
        <w:rPr>
          <w:rFonts w:ascii="宋体" w:hAnsi="宋体"/>
          <w:b/>
          <w:color w:val="000000"/>
          <w:sz w:val="28"/>
          <w:szCs w:val="28"/>
        </w:rPr>
      </w:pPr>
    </w:p>
    <w:p>
      <w:pPr>
        <w:widowControl/>
        <w:jc w:val="left"/>
        <w:rPr>
          <w:rFonts w:ascii="宋体" w:hAnsi="宋体"/>
          <w:b/>
          <w:color w:val="000000"/>
          <w:sz w:val="28"/>
          <w:szCs w:val="28"/>
        </w:rPr>
      </w:pPr>
    </w:p>
    <w:p>
      <w:pPr>
        <w:widowControl/>
        <w:jc w:val="left"/>
        <w:rPr>
          <w:rFonts w:ascii="宋体" w:hAnsi="宋体"/>
          <w:b/>
          <w:color w:val="000000"/>
          <w:sz w:val="28"/>
          <w:szCs w:val="28"/>
        </w:rPr>
      </w:pPr>
      <w:r>
        <w:rPr>
          <w:rFonts w:ascii="宋体" w:hAnsi="宋体"/>
          <w:b/>
          <w:color w:val="000000"/>
          <w:sz w:val="28"/>
          <w:szCs w:val="28"/>
        </w:rPr>
        <w:br w:type="page"/>
      </w:r>
    </w:p>
    <w:p>
      <w:pPr>
        <w:pStyle w:val="4"/>
        <w:rPr>
          <w:rFonts w:asciiTheme="minorEastAsia" w:hAnsiTheme="minorEastAsia" w:eastAsiaTheme="minorEastAsia"/>
        </w:rPr>
      </w:pPr>
      <w:bookmarkStart w:id="8" w:name="_Toc524357729"/>
      <w:r>
        <w:rPr>
          <w:rFonts w:hint="eastAsia" w:asciiTheme="minorEastAsia" w:hAnsiTheme="minorEastAsia" w:eastAsiaTheme="minorEastAsia"/>
        </w:rPr>
        <w:t xml:space="preserve">附件1-1 </w:t>
      </w:r>
    </w:p>
    <w:p>
      <w:pPr>
        <w:jc w:val="center"/>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后张法/先张法预应力混凝土T型简支梁产品检验项目、</w:t>
      </w:r>
    </w:p>
    <w:p>
      <w:pPr>
        <w:jc w:val="center"/>
        <w:rPr>
          <w:rFonts w:asciiTheme="minorEastAsia" w:hAnsiTheme="minorEastAsia" w:eastAsiaTheme="minorEastAsia"/>
          <w:szCs w:val="30"/>
        </w:rPr>
      </w:pPr>
      <w:r>
        <w:rPr>
          <w:rFonts w:hint="eastAsia" w:asciiTheme="minorEastAsia" w:hAnsiTheme="minorEastAsia" w:eastAsiaTheme="minorEastAsia"/>
          <w:b/>
          <w:sz w:val="30"/>
          <w:szCs w:val="30"/>
        </w:rPr>
        <w:t>依据标准及重要度分级表</w:t>
      </w:r>
      <w:bookmarkEnd w:id="8"/>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3"/>
        <w:gridCol w:w="1000"/>
        <w:gridCol w:w="3666"/>
        <w:gridCol w:w="2529"/>
        <w:gridCol w:w="7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2" w:hRule="atLeast"/>
          <w:tblHeader/>
          <w:jc w:val="center"/>
        </w:trPr>
        <w:tc>
          <w:tcPr>
            <w:tcW w:w="60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序号</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检验项目</w:t>
            </w:r>
          </w:p>
        </w:tc>
        <w:tc>
          <w:tcPr>
            <w:tcW w:w="366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检验依据标准及条款</w:t>
            </w:r>
          </w:p>
        </w:tc>
        <w:tc>
          <w:tcPr>
            <w:tcW w:w="252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检验方法依据标准或条款</w:t>
            </w:r>
          </w:p>
        </w:tc>
        <w:tc>
          <w:tcPr>
            <w:tcW w:w="1488"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重要度分级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75" w:hRule="atLeast"/>
          <w:tblHeader/>
          <w:jc w:val="center"/>
        </w:trPr>
        <w:tc>
          <w:tcPr>
            <w:tcW w:w="60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 w:val="18"/>
                <w:szCs w:val="18"/>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 w:val="18"/>
                <w:szCs w:val="18"/>
              </w:rPr>
            </w:pPr>
          </w:p>
        </w:tc>
        <w:tc>
          <w:tcPr>
            <w:tcW w:w="366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 w:val="18"/>
                <w:szCs w:val="18"/>
              </w:rPr>
            </w:pPr>
          </w:p>
        </w:tc>
        <w:tc>
          <w:tcPr>
            <w:tcW w:w="252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 w:val="18"/>
                <w:szCs w:val="18"/>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A</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
                <w:bCs/>
                <w:color w:val="000000"/>
                <w:szCs w:val="21"/>
              </w:rPr>
            </w:pPr>
            <w:r>
              <w:rPr>
                <w:rFonts w:hint="eastAsia" w:ascii="宋体" w:hAnsi="宋体" w:cs="宋体"/>
                <w:b/>
                <w:bCs/>
                <w:color w:val="00000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静载试验</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3.4.7/3.4.8条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3.4.3条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3.4.5/3.4.6条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3.4.5/3.4.6条</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TB/T2092-2003</w:t>
            </w:r>
            <w:r>
              <w:rPr>
                <w:rFonts w:hint="eastAsia" w:ascii="宋体" w:hAnsi="宋体" w:cs="宋体"/>
                <w:kern w:val="0"/>
                <w:szCs w:val="21"/>
              </w:rPr>
              <w:t>预应力混凝土铁路桥简支梁静载弯曲试验方法及评定标准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hint="eastAsia" w:cs="宋体" w:asciiTheme="minorEastAsia" w:hAnsiTheme="minorEastAsia" w:eastAsiaTheme="minorEastAsia"/>
                <w:bCs/>
                <w:szCs w:val="21"/>
              </w:rPr>
              <w:t>预防碱骨料反应</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TB/T3275-2011</w:t>
            </w:r>
            <w:r>
              <w:rPr>
                <w:rFonts w:hint="eastAsia" w:ascii="宋体" w:hAnsi="宋体" w:cs="宋体"/>
                <w:kern w:val="0"/>
                <w:szCs w:val="21"/>
              </w:rPr>
              <w:t>铁路混凝土</w:t>
            </w:r>
            <w:r>
              <w:rPr>
                <w:rFonts w:cs="宋体" w:asciiTheme="minorEastAsia" w:hAnsiTheme="minorEastAsia" w:eastAsiaTheme="minorEastAsia"/>
                <w:bCs/>
                <w:szCs w:val="21"/>
              </w:rPr>
              <w:t>5.1.2/ 5.1.6/5.1.7/7.1.5条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TB/T2484-2005</w:t>
            </w:r>
            <w:r>
              <w:rPr>
                <w:rFonts w:hint="eastAsia" w:ascii="宋体" w:hAnsi="宋体" w:cs="宋体"/>
                <w:kern w:val="0"/>
                <w:szCs w:val="21"/>
              </w:rPr>
              <w:t>预制先张法预应力混凝土铁路桥简支T梁技术条件</w:t>
            </w:r>
            <w:r>
              <w:rPr>
                <w:rFonts w:cs="宋体" w:asciiTheme="minorEastAsia" w:hAnsiTheme="minorEastAsia" w:eastAsiaTheme="minorEastAsia"/>
                <w:bCs/>
                <w:szCs w:val="21"/>
              </w:rPr>
              <w:t>3.4.6条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TB/T3043-2005</w:t>
            </w:r>
            <w:r>
              <w:rPr>
                <w:rFonts w:hint="eastAsia" w:ascii="宋体" w:hAnsi="宋体" w:cs="宋体"/>
                <w:kern w:val="0"/>
                <w:szCs w:val="21"/>
              </w:rPr>
              <w:t>预制后张法预应力混凝土铁路桥简支T梁技术条件</w:t>
            </w:r>
            <w:r>
              <w:rPr>
                <w:rFonts w:cs="宋体" w:asciiTheme="minorEastAsia" w:hAnsiTheme="minorEastAsia" w:eastAsiaTheme="minorEastAsia"/>
                <w:bCs/>
                <w:szCs w:val="21"/>
              </w:rPr>
              <w:t>3.4.2条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TB/T3432-2016</w:t>
            </w:r>
            <w:r>
              <w:rPr>
                <w:rFonts w:hint="eastAsia" w:ascii="宋体" w:hAnsi="宋体"/>
                <w:kern w:val="0"/>
              </w:rPr>
              <w:t>高速铁路预制后张法预应力混凝土简支梁</w:t>
            </w:r>
            <w:r>
              <w:rPr>
                <w:rFonts w:cs="宋体" w:asciiTheme="minorEastAsia" w:hAnsiTheme="minorEastAsia" w:eastAsiaTheme="minorEastAsia"/>
                <w:bCs/>
                <w:szCs w:val="21"/>
              </w:rPr>
              <w:t>3.2.2/3.2.5条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TB/T3433-2016</w:t>
            </w:r>
            <w:r>
              <w:rPr>
                <w:rFonts w:hint="eastAsia" w:ascii="宋体" w:hAnsi="宋体"/>
                <w:kern w:val="0"/>
              </w:rPr>
              <w:t>高速铁路预制先张法预应力混凝土简支梁</w:t>
            </w:r>
            <w:r>
              <w:rPr>
                <w:rFonts w:cs="宋体" w:asciiTheme="minorEastAsia" w:hAnsiTheme="minorEastAsia" w:eastAsiaTheme="minorEastAsia"/>
                <w:bCs/>
                <w:szCs w:val="21"/>
              </w:rPr>
              <w:t>3.2.2/3.2.5条</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GB/T176-2008</w:t>
            </w:r>
            <w:r>
              <w:rPr>
                <w:rFonts w:hint="eastAsia" w:ascii="宋体" w:hAnsi="宋体" w:cs="宋体"/>
                <w:kern w:val="0"/>
                <w:szCs w:val="21"/>
              </w:rPr>
              <w:t>水泥化学分析方法</w:t>
            </w:r>
            <w:r>
              <w:rPr>
                <w:rFonts w:cs="宋体" w:asciiTheme="minorEastAsia" w:hAnsiTheme="minorEastAsia" w:eastAsiaTheme="minorEastAsia"/>
                <w:bCs/>
                <w:szCs w:val="21"/>
              </w:rPr>
              <w:t>17条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TB/T2922.1-1998</w:t>
            </w:r>
            <w:r>
              <w:rPr>
                <w:rFonts w:hint="eastAsia" w:ascii="宋体" w:hAnsi="宋体" w:cs="宋体"/>
                <w:kern w:val="0"/>
                <w:szCs w:val="21"/>
              </w:rPr>
              <w:t>铁路混凝土用骨料碱活性试验方法（岩相法）</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TB/T2922.5-2002</w:t>
            </w:r>
            <w:r>
              <w:rPr>
                <w:rFonts w:hint="eastAsia" w:ascii="宋体" w:hAnsi="宋体" w:cs="宋体"/>
                <w:kern w:val="0"/>
                <w:szCs w:val="21"/>
              </w:rPr>
              <w:t>铁路混凝土用骨料碱活性试验方法（快速砂浆棒法）</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TB/T3275-2011</w:t>
            </w:r>
            <w:r>
              <w:rPr>
                <w:rFonts w:hint="eastAsia" w:ascii="宋体" w:hAnsi="宋体" w:cs="宋体"/>
                <w:kern w:val="0"/>
                <w:szCs w:val="21"/>
              </w:rPr>
              <w:t>铁路混凝土</w:t>
            </w:r>
            <w:r>
              <w:rPr>
                <w:rFonts w:cs="宋体" w:asciiTheme="minorEastAsia" w:hAnsiTheme="minorEastAsia" w:eastAsiaTheme="minorEastAsia"/>
                <w:bCs/>
                <w:szCs w:val="21"/>
              </w:rPr>
              <w:t>附录B</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Cs/>
                <w:sz w:val="18"/>
                <w:szCs w:val="18"/>
              </w:rPr>
            </w:pPr>
            <w:r>
              <w:rPr>
                <w:rFonts w:asciiTheme="minorEastAsia" w:hAnsiTheme="minorEastAsia" w:eastAsiaTheme="minorEastAsia"/>
                <w:bCs/>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hint="eastAsia" w:cs="宋体" w:asciiTheme="minorEastAsia" w:hAnsiTheme="minorEastAsia" w:eastAsiaTheme="minorEastAsia"/>
                <w:bCs/>
                <w:szCs w:val="21"/>
              </w:rPr>
              <w:t>混凝土耐久性</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TB/T2484-2005</w:t>
            </w:r>
            <w:r>
              <w:rPr>
                <w:rFonts w:hint="eastAsia" w:ascii="宋体" w:hAnsi="宋体" w:cs="宋体"/>
                <w:kern w:val="0"/>
                <w:szCs w:val="21"/>
              </w:rPr>
              <w:t>预制先张法预应力混凝土铁路桥简支T梁技术条件</w:t>
            </w:r>
            <w:r>
              <w:rPr>
                <w:rFonts w:cs="宋体" w:asciiTheme="minorEastAsia" w:hAnsiTheme="minorEastAsia" w:eastAsiaTheme="minorEastAsia"/>
                <w:bCs/>
                <w:szCs w:val="21"/>
              </w:rPr>
              <w:t>3.4.2/3.4.3/3.4.4条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TB/T3043-2005</w:t>
            </w:r>
            <w:r>
              <w:rPr>
                <w:rFonts w:hint="eastAsia" w:ascii="宋体" w:hAnsi="宋体" w:cs="宋体"/>
                <w:kern w:val="0"/>
                <w:szCs w:val="21"/>
              </w:rPr>
              <w:t>预制后张法预应力混凝土铁路桥简支T梁技术条件</w:t>
            </w:r>
            <w:r>
              <w:rPr>
                <w:rFonts w:cs="宋体" w:asciiTheme="minorEastAsia" w:hAnsiTheme="minorEastAsia" w:eastAsiaTheme="minorEastAsia"/>
                <w:bCs/>
                <w:szCs w:val="21"/>
              </w:rPr>
              <w:t>3.4.2条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TB/T3432-2016</w:t>
            </w:r>
            <w:r>
              <w:rPr>
                <w:rFonts w:hint="eastAsia" w:ascii="宋体" w:hAnsi="宋体"/>
                <w:kern w:val="0"/>
              </w:rPr>
              <w:t>高速铁路预制后张法预应力混凝土简支梁</w:t>
            </w:r>
            <w:r>
              <w:rPr>
                <w:rFonts w:cs="宋体" w:asciiTheme="minorEastAsia" w:hAnsiTheme="minorEastAsia" w:eastAsiaTheme="minorEastAsia"/>
                <w:bCs/>
                <w:szCs w:val="21"/>
              </w:rPr>
              <w:t>3.4.2/3.4.3条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TB/T3433-2016</w:t>
            </w:r>
            <w:r>
              <w:rPr>
                <w:rFonts w:hint="eastAsia" w:ascii="宋体" w:hAnsi="宋体"/>
                <w:kern w:val="0"/>
              </w:rPr>
              <w:t>高速铁路预制先张法预应力混凝土简支梁</w:t>
            </w:r>
            <w:r>
              <w:rPr>
                <w:rFonts w:cs="宋体" w:asciiTheme="minorEastAsia" w:hAnsiTheme="minorEastAsia" w:eastAsiaTheme="minorEastAsia"/>
                <w:bCs/>
                <w:szCs w:val="21"/>
              </w:rPr>
              <w:t>3.4.2/3.4.3条</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GB/T50082-2009</w:t>
            </w:r>
            <w:r>
              <w:rPr>
                <w:rFonts w:hint="eastAsia" w:ascii="宋体" w:hAnsi="宋体" w:cs="宋体"/>
                <w:kern w:val="0"/>
                <w:szCs w:val="21"/>
              </w:rPr>
              <w:t>普通混凝土长期性能和耐久性能试验方法</w:t>
            </w:r>
            <w:r>
              <w:rPr>
                <w:rFonts w:cs="宋体" w:asciiTheme="minorEastAsia" w:hAnsiTheme="minorEastAsia" w:eastAsiaTheme="minorEastAsia"/>
                <w:bCs/>
                <w:szCs w:val="21"/>
              </w:rPr>
              <w:t>4.2/5/6.2/7.2条</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Cs/>
                <w:sz w:val="18"/>
                <w:szCs w:val="18"/>
              </w:rPr>
            </w:pPr>
            <w:r>
              <w:rPr>
                <w:rFonts w:asciiTheme="minorEastAsia" w:hAnsiTheme="minorEastAsia" w:eastAsiaTheme="minorEastAsia"/>
                <w:bCs/>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hint="eastAsia" w:cs="宋体" w:asciiTheme="minorEastAsia" w:hAnsiTheme="minorEastAsia" w:eastAsiaTheme="minorEastAsia"/>
                <w:bCs/>
                <w:szCs w:val="21"/>
              </w:rPr>
              <w:t>胶凝材料耐腐蚀性</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TB/T2484-2005</w:t>
            </w:r>
            <w:r>
              <w:rPr>
                <w:rFonts w:hint="eastAsia" w:ascii="宋体" w:hAnsi="宋体" w:cs="宋体"/>
                <w:kern w:val="0"/>
                <w:szCs w:val="21"/>
              </w:rPr>
              <w:t>预制先张法预应力混凝土铁路桥简支T梁技术条件</w:t>
            </w:r>
            <w:r>
              <w:rPr>
                <w:rFonts w:cs="宋体" w:asciiTheme="minorEastAsia" w:hAnsiTheme="minorEastAsia" w:eastAsiaTheme="minorEastAsia"/>
                <w:bCs/>
                <w:szCs w:val="21"/>
              </w:rPr>
              <w:t xml:space="preserve">5.3.2条 </w:t>
            </w:r>
            <w:r>
              <w:rPr>
                <w:rFonts w:hint="eastAsia" w:cs="宋体" w:asciiTheme="minorEastAsia" w:hAnsiTheme="minorEastAsia" w:eastAsiaTheme="minorEastAsia"/>
                <w:bCs/>
                <w:szCs w:val="21"/>
              </w:rPr>
              <w:t>表</w:t>
            </w:r>
            <w:r>
              <w:rPr>
                <w:rFonts w:cs="宋体" w:asciiTheme="minorEastAsia" w:hAnsiTheme="minorEastAsia" w:eastAsiaTheme="minorEastAsia"/>
                <w:bCs/>
                <w:szCs w:val="21"/>
              </w:rPr>
              <w:t>5</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TB/T3043-2005</w:t>
            </w:r>
            <w:r>
              <w:rPr>
                <w:rFonts w:hint="eastAsia" w:ascii="宋体" w:hAnsi="宋体" w:cs="宋体"/>
                <w:kern w:val="0"/>
                <w:szCs w:val="21"/>
              </w:rPr>
              <w:t>预制后张法预应力混凝土铁路桥简支T梁技术条件</w:t>
            </w:r>
            <w:r>
              <w:rPr>
                <w:rFonts w:cs="宋体" w:asciiTheme="minorEastAsia" w:hAnsiTheme="minorEastAsia" w:eastAsiaTheme="minorEastAsia"/>
                <w:bCs/>
                <w:szCs w:val="21"/>
              </w:rPr>
              <w:t>3.4.2条</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szCs w:val="21"/>
              </w:rPr>
            </w:pPr>
            <w:r>
              <w:rPr>
                <w:rFonts w:cs="宋体" w:asciiTheme="minorEastAsia" w:hAnsiTheme="minorEastAsia" w:eastAsiaTheme="minorEastAsia"/>
                <w:bCs/>
                <w:szCs w:val="21"/>
              </w:rPr>
              <w:t>TB/T3275-2011</w:t>
            </w:r>
            <w:r>
              <w:rPr>
                <w:rFonts w:hint="eastAsia" w:ascii="宋体" w:hAnsi="宋体" w:cs="宋体"/>
                <w:kern w:val="0"/>
                <w:szCs w:val="21"/>
              </w:rPr>
              <w:t>铁路混凝土</w:t>
            </w:r>
            <w:r>
              <w:rPr>
                <w:rFonts w:cs="宋体" w:asciiTheme="minorEastAsia" w:hAnsiTheme="minorEastAsia" w:eastAsiaTheme="minorEastAsia"/>
                <w:bCs/>
                <w:szCs w:val="21"/>
              </w:rPr>
              <w:t>附录A</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宋体" w:hAnsi="宋体" w:cs="宋体"/>
                <w:bCs/>
                <w:sz w:val="18"/>
                <w:szCs w:val="18"/>
              </w:rPr>
            </w:pPr>
            <w:r>
              <w:rPr>
                <w:rFonts w:asciiTheme="minorEastAsia" w:hAnsiTheme="minorEastAsia" w:eastAsiaTheme="minorEastAsia"/>
                <w:bCs/>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梁体混凝土28d</w:t>
            </w:r>
            <w:r>
              <w:rPr>
                <w:rFonts w:cs="宋体" w:asciiTheme="minorEastAsia" w:hAnsiTheme="minorEastAsia" w:eastAsiaTheme="minorEastAsia"/>
                <w:bCs/>
                <w:color w:val="000000"/>
                <w:szCs w:val="21"/>
              </w:rPr>
              <w:t>强度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GB/T5008</w:t>
            </w: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-200</w:t>
            </w:r>
            <w:r>
              <w:rPr>
                <w:rFonts w:hint="eastAsia" w:cs="宋体" w:asciiTheme="minorEastAsia" w:hAnsiTheme="minorEastAsia" w:eastAsiaTheme="minorEastAsia"/>
                <w:bCs/>
                <w:color w:val="000000"/>
                <w:szCs w:val="21"/>
              </w:rPr>
              <w:t>2</w:t>
            </w:r>
            <w:r>
              <w:rPr>
                <w:rFonts w:hint="eastAsia" w:ascii="宋体" w:hAnsi="宋体" w:cs="宋体"/>
                <w:kern w:val="0"/>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TB10425-94</w:t>
            </w:r>
            <w:r>
              <w:rPr>
                <w:rFonts w:hint="eastAsia" w:ascii="宋体" w:hAnsi="宋体" w:cs="宋体"/>
                <w:kern w:val="0"/>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梁体</w:t>
            </w:r>
            <w:r>
              <w:rPr>
                <w:rFonts w:hint="eastAsia" w:cs="宋体" w:asciiTheme="minorEastAsia" w:hAnsiTheme="minorEastAsia" w:eastAsiaTheme="minorEastAsia"/>
                <w:bCs/>
                <w:color w:val="000000"/>
                <w:szCs w:val="21"/>
              </w:rPr>
              <w:t>混凝土28d</w:t>
            </w:r>
            <w:r>
              <w:rPr>
                <w:rFonts w:cs="宋体" w:asciiTheme="minorEastAsia" w:hAnsiTheme="minorEastAsia" w:eastAsiaTheme="minorEastAsia"/>
                <w:bCs/>
                <w:color w:val="000000"/>
                <w:szCs w:val="21"/>
              </w:rPr>
              <w:t>弹模</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GB/T5008</w:t>
            </w: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-200</w:t>
            </w:r>
            <w:r>
              <w:rPr>
                <w:rFonts w:hint="eastAsia" w:cs="宋体" w:asciiTheme="minorEastAsia" w:hAnsiTheme="minorEastAsia" w:eastAsiaTheme="minorEastAsia"/>
                <w:bCs/>
                <w:color w:val="000000"/>
                <w:szCs w:val="21"/>
              </w:rPr>
              <w:t>2</w:t>
            </w:r>
            <w:r>
              <w:rPr>
                <w:rFonts w:hint="eastAsia" w:ascii="宋体" w:hAnsi="宋体" w:cs="宋体"/>
                <w:kern w:val="0"/>
                <w:szCs w:val="21"/>
              </w:rPr>
              <w:t>普通混凝土力学性能试验方法标准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桥面保护层</w:t>
            </w:r>
            <w:r>
              <w:rPr>
                <w:rFonts w:hint="eastAsia" w:cs="宋体" w:asciiTheme="minorEastAsia" w:hAnsiTheme="minorEastAsia" w:eastAsiaTheme="minorEastAsia"/>
                <w:bCs/>
                <w:color w:val="000000"/>
                <w:szCs w:val="21"/>
              </w:rPr>
              <w:t>混凝土28d</w:t>
            </w:r>
            <w:r>
              <w:rPr>
                <w:rFonts w:cs="宋体" w:asciiTheme="minorEastAsia" w:hAnsiTheme="minorEastAsia" w:eastAsiaTheme="minorEastAsia"/>
                <w:bCs/>
                <w:color w:val="000000"/>
                <w:szCs w:val="21"/>
              </w:rPr>
              <w:t>强度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GB/T5008</w:t>
            </w: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-200</w:t>
            </w:r>
            <w:r>
              <w:rPr>
                <w:rFonts w:hint="eastAsia" w:cs="宋体" w:asciiTheme="minorEastAsia" w:hAnsiTheme="minorEastAsia" w:eastAsiaTheme="minorEastAsia"/>
                <w:bCs/>
                <w:color w:val="000000"/>
                <w:szCs w:val="21"/>
              </w:rPr>
              <w:t>2</w:t>
            </w:r>
            <w:r>
              <w:rPr>
                <w:rFonts w:hint="eastAsia" w:ascii="宋体" w:hAnsi="宋体" w:cs="宋体"/>
                <w:kern w:val="0"/>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TB10425-94</w:t>
            </w:r>
            <w:r>
              <w:rPr>
                <w:rFonts w:hint="eastAsia" w:ascii="宋体" w:hAnsi="宋体" w:cs="宋体"/>
                <w:kern w:val="0"/>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封端</w:t>
            </w:r>
            <w:r>
              <w:rPr>
                <w:rFonts w:hint="eastAsia" w:cs="宋体" w:asciiTheme="minorEastAsia" w:hAnsiTheme="minorEastAsia" w:eastAsiaTheme="minorEastAsia"/>
                <w:bCs/>
                <w:color w:val="000000"/>
                <w:szCs w:val="21"/>
              </w:rPr>
              <w:t>混凝土28d</w:t>
            </w:r>
            <w:r>
              <w:rPr>
                <w:rFonts w:cs="宋体" w:asciiTheme="minorEastAsia" w:hAnsiTheme="minorEastAsia" w:eastAsiaTheme="minorEastAsia"/>
                <w:bCs/>
                <w:color w:val="000000"/>
                <w:szCs w:val="21"/>
              </w:rPr>
              <w:t>强度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GB/T5008</w:t>
            </w: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-200</w:t>
            </w:r>
            <w:r>
              <w:rPr>
                <w:rFonts w:hint="eastAsia" w:cs="宋体" w:asciiTheme="minorEastAsia" w:hAnsiTheme="minorEastAsia" w:eastAsiaTheme="minorEastAsia"/>
                <w:bCs/>
                <w:color w:val="000000"/>
                <w:szCs w:val="21"/>
              </w:rPr>
              <w:t>2</w:t>
            </w:r>
            <w:r>
              <w:rPr>
                <w:rFonts w:hint="eastAsia" w:ascii="宋体" w:hAnsi="宋体" w:cs="宋体"/>
                <w:kern w:val="0"/>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TB10425-94</w:t>
            </w:r>
            <w:r>
              <w:rPr>
                <w:rFonts w:hint="eastAsia" w:ascii="宋体" w:hAnsi="宋体" w:cs="宋体"/>
                <w:kern w:val="0"/>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管道</w:t>
            </w:r>
            <w:r>
              <w:rPr>
                <w:rFonts w:cs="宋体" w:asciiTheme="minorEastAsia" w:hAnsiTheme="minorEastAsia" w:eastAsiaTheme="minorEastAsia"/>
                <w:bCs/>
                <w:color w:val="000000"/>
                <w:szCs w:val="21"/>
              </w:rPr>
              <w:t>压浆</w:t>
            </w:r>
            <w:r>
              <w:rPr>
                <w:rFonts w:hint="eastAsia" w:cs="宋体" w:asciiTheme="minorEastAsia" w:hAnsiTheme="minorEastAsia" w:eastAsiaTheme="minorEastAsia"/>
                <w:bCs/>
                <w:color w:val="000000"/>
                <w:szCs w:val="21"/>
              </w:rPr>
              <w:t>28d</w:t>
            </w:r>
            <w:r>
              <w:rPr>
                <w:rFonts w:cs="宋体" w:asciiTheme="minorEastAsia" w:hAnsiTheme="minorEastAsia" w:eastAsiaTheme="minorEastAsia"/>
                <w:bCs/>
                <w:color w:val="000000"/>
                <w:szCs w:val="21"/>
              </w:rPr>
              <w:t>强度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GB/T17671-1999</w:t>
            </w:r>
            <w:r>
              <w:rPr>
                <w:rFonts w:hint="eastAsia" w:ascii="宋体" w:hAnsi="宋体" w:cs="宋体"/>
                <w:kern w:val="0"/>
                <w:szCs w:val="21"/>
              </w:rPr>
              <w:t>水泥胶砂强度检验方法（ISO法）</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梁体表面裂纹</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用肉眼或刻度放大镜观察预应力区，重点查看下翼缘两侧和底部，不允许出现裂纹。</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桥梁全长</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用钢卷尺测量梁体全长，梁上梁下各测两处任意位置。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桥梁跨度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用钢卷尺测量梁体两侧跨度。</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梁高</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用钢卷尺直接测量梁体两端的梁高，每件梁测2处。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梁上拱</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用水准仪测量梁体两侧的上拱度，取平均值做为测量结果。</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桥面外侧偏离设计位置</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在梁端支座板底面向上50mm为基点，固定分中规，分出桥面中心线，用卷尺测量桥面中心线到挡砟墙外侧距离，测点沿长度方向相对均布，每件梁测5处。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下翼缘宽度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用钢直尺测量U型尺下口宽度，再用U型尺直接测量下翼缘宽度，测点沿长度方向相对均布，每件梁测5处。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腹板厚度</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用U型尺直接测量，测点沿长度方向相对均布，每件梁测5处。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cs="宋体" w:asciiTheme="minorEastAsia" w:hAnsiTheme="minorEastAsia" w:eastAsiaTheme="minorEastAsia"/>
                <w:bCs/>
                <w:color w:val="000000"/>
                <w:szCs w:val="21"/>
              </w:rPr>
              <w:t>预留孔道位置</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在梁体固定支座端固定钢卷尺，拉至梁体另一端，以跨度线为基准测量两个下端隔板和下中隔板位置，计算偏差；在梁体跨中附近架水准仪，测量两个下端隔板和下中隔板孔道中心的高度位置及对应的梁体底面的高度位置，计算梁底至下隔板孔道中心的高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预埋支座板</w:t>
            </w:r>
            <w:r>
              <w:rPr>
                <w:rFonts w:cs="宋体" w:asciiTheme="minorEastAsia" w:hAnsiTheme="minorEastAsia" w:eastAsiaTheme="minorEastAsia"/>
                <w:bCs/>
                <w:color w:val="000000"/>
                <w:szCs w:val="21"/>
              </w:rPr>
              <w:t>外露底面</w:t>
            </w:r>
            <w:r>
              <w:rPr>
                <w:rFonts w:hint="eastAsia" w:cs="宋体" w:asciiTheme="minorEastAsia" w:hAnsiTheme="minorEastAsia" w:eastAsiaTheme="minorEastAsia"/>
                <w:bCs/>
                <w:color w:val="000000"/>
                <w:szCs w:val="21"/>
              </w:rPr>
              <w:t>空腹声</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用铁锤敲击预埋的两块支座板，支座板上方混凝土有空洞现象计入超差，支座板与上方混凝土分离不计入超差。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预埋支座板</w:t>
            </w:r>
            <w:r>
              <w:rPr>
                <w:rFonts w:cs="宋体" w:asciiTheme="minorEastAsia" w:hAnsiTheme="minorEastAsia" w:eastAsiaTheme="minorEastAsia"/>
                <w:bCs/>
                <w:color w:val="000000"/>
                <w:szCs w:val="21"/>
              </w:rPr>
              <w:t>螺栓中心位置偏差</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用游标卡尺直接测量任意两个光圆直杆螺栓间距，每个支座板测5处。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预埋支座板</w:t>
            </w:r>
            <w:r>
              <w:rPr>
                <w:rFonts w:cs="宋体" w:asciiTheme="minorEastAsia" w:hAnsiTheme="minorEastAsia" w:eastAsiaTheme="minorEastAsia"/>
                <w:bCs/>
                <w:color w:val="000000"/>
                <w:szCs w:val="21"/>
              </w:rPr>
              <w:t>中心横向偏离设计位置</w:t>
            </w:r>
          </w:p>
        </w:tc>
        <w:tc>
          <w:tcPr>
            <w:tcW w:w="36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且满足设计图纸要求</w:t>
            </w:r>
          </w:p>
        </w:tc>
        <w:tc>
          <w:tcPr>
            <w:tcW w:w="252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TB/T2484-2005</w:t>
            </w:r>
            <w:r>
              <w:rPr>
                <w:rFonts w:hint="eastAsia" w:ascii="宋体" w:hAnsi="宋体" w:cs="宋体"/>
                <w:kern w:val="0"/>
                <w:szCs w:val="21"/>
              </w:rPr>
              <w:t>预制先张法预应力混凝土铁路桥简支T梁技术条件</w:t>
            </w:r>
            <w:r>
              <w:rPr>
                <w:rFonts w:hint="eastAsia" w:cs="宋体" w:asciiTheme="minorEastAsia" w:hAnsiTheme="minorEastAsia" w:eastAsiaTheme="minorEastAsia"/>
                <w:bCs/>
                <w:color w:val="000000"/>
                <w:szCs w:val="21"/>
              </w:rPr>
              <w:t>3.4.10条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TB/T3043-2005</w:t>
            </w:r>
            <w:r>
              <w:rPr>
                <w:rFonts w:hint="eastAsia" w:ascii="宋体" w:hAnsi="宋体" w:cs="宋体"/>
                <w:kern w:val="0"/>
                <w:szCs w:val="21"/>
              </w:rPr>
              <w:t>预制后张法预应力混凝土铁路桥简支T梁技术条件</w:t>
            </w:r>
            <w:r>
              <w:rPr>
                <w:rFonts w:hint="eastAsia" w:cs="宋体" w:asciiTheme="minorEastAsia" w:hAnsiTheme="minorEastAsia" w:eastAsiaTheme="minorEastAsia"/>
                <w:bCs/>
                <w:color w:val="000000"/>
                <w:szCs w:val="21"/>
              </w:rPr>
              <w:t>3.4.5条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TB/T3432-2016</w:t>
            </w:r>
            <w:r>
              <w:rPr>
                <w:rFonts w:hint="eastAsia" w:ascii="宋体" w:hAnsi="宋体"/>
                <w:kern w:val="0"/>
              </w:rPr>
              <w:t>高速铁路预制后张法预应力混凝土简支梁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TB/T3433-2016</w:t>
            </w:r>
            <w:r>
              <w:rPr>
                <w:rFonts w:hint="eastAsia" w:ascii="宋体" w:hAnsi="宋体"/>
                <w:kern w:val="0"/>
              </w:rPr>
              <w:t>高速铁路预制先张法预应力混凝土简支梁</w:t>
            </w:r>
            <w:r>
              <w:rPr>
                <w:rFonts w:hint="eastAsia" w:cs="宋体" w:asciiTheme="minorEastAsia" w:hAnsiTheme="minorEastAsia" w:eastAsiaTheme="minorEastAsia"/>
                <w:bCs/>
                <w:color w:val="000000"/>
                <w:szCs w:val="21"/>
              </w:rPr>
              <w:t>3.4.7条</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从下翼缘分出梁体中心，用跨度样板分出支座板中心，用直钢尺测量两中心间距离。</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asciiTheme="minorEastAsia" w:hAnsiTheme="minorEastAsia" w:eastAsia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说明</w:t>
            </w:r>
          </w:p>
        </w:tc>
        <w:tc>
          <w:tcPr>
            <w:tcW w:w="8683" w:type="dxa"/>
            <w:gridSpan w:val="5"/>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此表适用于客货共线T梁和客运专线T梁，异型梁可根据需要采用；</w:t>
            </w:r>
          </w:p>
          <w:p>
            <w:pPr>
              <w:keepNext w:val="0"/>
              <w:keepLines w:val="0"/>
              <w:pageBreakBefore w:val="0"/>
              <w:widowControl w:val="0"/>
              <w:numPr>
                <w:ilvl w:val="0"/>
                <w:numId w:val="4"/>
              </w:numPr>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若有关桥梁的技术条件、设计图纸及验收标准存有差异或发生变更时，本《发证细则》按照“就近”“就高”“就新”的原则执行。</w:t>
            </w:r>
          </w:p>
        </w:tc>
      </w:tr>
    </w:tbl>
    <w:p>
      <w:pPr>
        <w:pStyle w:val="40"/>
        <w:keepNext w:val="0"/>
        <w:keepLines w:val="0"/>
        <w:pageBreakBefore w:val="0"/>
        <w:widowControl w:val="0"/>
        <w:tabs>
          <w:tab w:val="left" w:pos="1418"/>
        </w:tabs>
        <w:kinsoku/>
        <w:wordWrap/>
        <w:overflowPunct/>
        <w:topLinePunct w:val="0"/>
        <w:autoSpaceDE/>
        <w:autoSpaceDN/>
        <w:bidi w:val="0"/>
        <w:adjustRightInd/>
        <w:snapToGrid/>
        <w:spacing w:before="157" w:beforeLines="50" w:line="360" w:lineRule="auto"/>
        <w:ind w:firstLine="420" w:firstLineChars="0"/>
        <w:textAlignment w:val="auto"/>
        <w:outlineLvl w:val="9"/>
        <w:rPr>
          <w:rFonts w:asciiTheme="minorEastAsia" w:hAnsiTheme="minorEastAsia" w:eastAsiaTheme="minorEastAsia"/>
          <w:color w:val="000000"/>
          <w:kern w:val="0"/>
        </w:rPr>
      </w:pPr>
      <w:r>
        <w:rPr>
          <w:rFonts w:hint="eastAsia" w:ascii="宋体" w:hAnsi="宋体"/>
          <w:color w:val="000000"/>
        </w:rPr>
        <w:t>注：检验方法标准一经修订，检测机构自标准实施之日起按新标准进行检测。</w:t>
      </w:r>
    </w:p>
    <w:p>
      <w:pPr>
        <w:pStyle w:val="40"/>
        <w:tabs>
          <w:tab w:val="left" w:pos="1418"/>
        </w:tabs>
        <w:spacing w:line="360" w:lineRule="auto"/>
        <w:ind w:firstLineChars="0"/>
        <w:rPr>
          <w:rFonts w:cs="宋体" w:asciiTheme="minorEastAsia" w:hAnsiTheme="minorEastAsia" w:eastAsiaTheme="minorEastAsia"/>
          <w:color w:val="000000"/>
        </w:rPr>
      </w:pPr>
      <w:r>
        <w:rPr>
          <w:rFonts w:hint="eastAsia" w:asciiTheme="minorEastAsia" w:hAnsiTheme="minorEastAsia" w:eastAsiaTheme="minorEastAsia"/>
          <w:color w:val="000000"/>
          <w:kern w:val="0"/>
        </w:rPr>
        <w:t>后张法</w:t>
      </w:r>
      <w:r>
        <w:rPr>
          <w:rFonts w:asciiTheme="minorEastAsia" w:hAnsiTheme="minorEastAsia" w:eastAsiaTheme="minorEastAsia"/>
          <w:color w:val="000000"/>
          <w:kern w:val="0"/>
        </w:rPr>
        <w:t>/先张法预应力混凝土T型简支梁产品检测</w:t>
      </w:r>
      <w:r>
        <w:rPr>
          <w:rFonts w:hint="eastAsia" w:cs="宋体" w:asciiTheme="minorEastAsia" w:hAnsiTheme="minorEastAsia" w:eastAsiaTheme="minorEastAsia"/>
          <w:color w:val="000000"/>
        </w:rPr>
        <w:t>综合判定原则：</w:t>
      </w:r>
    </w:p>
    <w:p>
      <w:pPr>
        <w:pStyle w:val="40"/>
        <w:tabs>
          <w:tab w:val="left" w:pos="1418"/>
        </w:tabs>
        <w:spacing w:line="360" w:lineRule="auto"/>
        <w:rPr>
          <w:rFonts w:asciiTheme="minorEastAsia" w:hAnsiTheme="minorEastAsia" w:eastAsiaTheme="minorEastAsia"/>
          <w:bCs/>
        </w:rPr>
      </w:pPr>
      <w:r>
        <w:rPr>
          <w:rFonts w:hint="eastAsia" w:asciiTheme="minorEastAsia" w:hAnsiTheme="minorEastAsia" w:eastAsiaTheme="minorEastAsia"/>
          <w:kern w:val="0"/>
        </w:rPr>
        <w:t>（一）</w:t>
      </w:r>
      <w:r>
        <w:rPr>
          <w:rFonts w:asciiTheme="minorEastAsia" w:hAnsiTheme="minorEastAsia" w:eastAsiaTheme="minorEastAsia"/>
          <w:bCs/>
        </w:rPr>
        <w:t>A类检测项目全部合格；</w:t>
      </w:r>
    </w:p>
    <w:p>
      <w:pPr>
        <w:pStyle w:val="40"/>
        <w:tabs>
          <w:tab w:val="left" w:pos="1418"/>
        </w:tabs>
        <w:spacing w:line="360" w:lineRule="auto"/>
        <w:rPr>
          <w:rFonts w:asciiTheme="minorEastAsia" w:hAnsiTheme="minorEastAsia" w:eastAsiaTheme="minorEastAsia"/>
          <w:color w:val="000000"/>
          <w:kern w:val="0"/>
        </w:rPr>
      </w:pPr>
      <w:r>
        <w:rPr>
          <w:rFonts w:hint="eastAsia" w:asciiTheme="minorEastAsia" w:hAnsiTheme="minorEastAsia" w:eastAsiaTheme="minorEastAsia"/>
          <w:color w:val="000000"/>
          <w:kern w:val="0"/>
        </w:rPr>
        <w:t>（二）单个</w:t>
      </w:r>
      <w:r>
        <w:rPr>
          <w:rFonts w:asciiTheme="minorEastAsia" w:hAnsiTheme="minorEastAsia" w:eastAsiaTheme="minorEastAsia"/>
          <w:color w:val="000000"/>
          <w:kern w:val="0"/>
        </w:rPr>
        <w:t>B类检测项目的6件梁合格测点数量不小于6件梁测点总数量的80%，否则判该B类检测项目不合格；B类检测项目不合格数不大于4个。</w:t>
      </w:r>
    </w:p>
    <w:p>
      <w:pPr>
        <w:pStyle w:val="40"/>
        <w:tabs>
          <w:tab w:val="left" w:pos="1418"/>
        </w:tabs>
        <w:spacing w:line="360" w:lineRule="auto"/>
        <w:rPr>
          <w:rFonts w:asciiTheme="minorEastAsia" w:hAnsiTheme="minorEastAsia" w:eastAsiaTheme="minorEastAsia"/>
          <w:color w:val="000000"/>
          <w:kern w:val="0"/>
        </w:rPr>
      </w:pPr>
      <w:r>
        <w:rPr>
          <w:rFonts w:hint="eastAsia" w:asciiTheme="minorEastAsia" w:hAnsiTheme="minorEastAsia" w:eastAsiaTheme="minorEastAsia"/>
          <w:color w:val="000000"/>
          <w:kern w:val="0"/>
        </w:rPr>
        <w:t>同时满足上述要求则判定产品检测合格，否则判定产品检测不合格。</w:t>
      </w:r>
    </w:p>
    <w:p>
      <w:pPr>
        <w:tabs>
          <w:tab w:val="left" w:pos="0"/>
        </w:tabs>
        <w:spacing w:line="360" w:lineRule="auto"/>
        <w:ind w:firstLine="207" w:firstLineChars="98"/>
        <w:rPr>
          <w:rFonts w:ascii="宋体" w:hAnsi="宋体"/>
          <w:b/>
          <w:color w:val="000000"/>
        </w:rPr>
      </w:pPr>
    </w:p>
    <w:p>
      <w:pPr>
        <w:widowControl/>
        <w:jc w:val="left"/>
        <w:rPr>
          <w:rFonts w:ascii="宋体" w:hAnsi="宋体"/>
          <w:b/>
          <w:color w:val="000000"/>
        </w:rPr>
      </w:pPr>
      <w:r>
        <w:rPr>
          <w:rFonts w:ascii="宋体" w:hAnsi="宋体"/>
          <w:b/>
          <w:color w:val="000000"/>
        </w:rPr>
        <w:br w:type="page"/>
      </w:r>
    </w:p>
    <w:p>
      <w:pPr>
        <w:pStyle w:val="4"/>
      </w:pPr>
      <w:bookmarkStart w:id="9" w:name="_Toc524357730"/>
      <w:r>
        <w:rPr>
          <w:rFonts w:hint="eastAsia"/>
        </w:rPr>
        <w:t xml:space="preserve">附件1-2 </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后张法/先张法预应力混凝土箱型简支梁</w:t>
      </w:r>
      <w:r>
        <w:rPr>
          <w:rFonts w:hint="eastAsia" w:asciiTheme="minorEastAsia" w:hAnsiTheme="minorEastAsia" w:eastAsiaTheme="minorEastAsia"/>
          <w:b/>
          <w:kern w:val="0"/>
          <w:sz w:val="30"/>
          <w:szCs w:val="30"/>
        </w:rPr>
        <w:t>产品</w:t>
      </w:r>
      <w:r>
        <w:rPr>
          <w:rFonts w:hint="eastAsia" w:asciiTheme="minorEastAsia" w:hAnsiTheme="minorEastAsia" w:eastAsiaTheme="minorEastAsia"/>
          <w:b/>
          <w:sz w:val="30"/>
          <w:szCs w:val="30"/>
        </w:rPr>
        <w:t>检验项目、</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asciiTheme="minorEastAsia" w:hAnsiTheme="minorEastAsia" w:eastAsiaTheme="minorEastAsia"/>
          <w:szCs w:val="30"/>
        </w:rPr>
      </w:pPr>
      <w:r>
        <w:rPr>
          <w:rFonts w:hint="eastAsia" w:asciiTheme="minorEastAsia" w:hAnsiTheme="minorEastAsia" w:eastAsiaTheme="minorEastAsia"/>
          <w:b/>
          <w:sz w:val="30"/>
          <w:szCs w:val="30"/>
        </w:rPr>
        <w:t>依据标准及重要度分级表</w:t>
      </w:r>
      <w:bookmarkEnd w:id="9"/>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233"/>
        <w:gridCol w:w="2794"/>
        <w:gridCol w:w="3003"/>
        <w:gridCol w:w="7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blHeader/>
          <w:jc w:val="center"/>
        </w:trPr>
        <w:tc>
          <w:tcPr>
            <w:tcW w:w="76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序号</w:t>
            </w:r>
          </w:p>
        </w:tc>
        <w:tc>
          <w:tcPr>
            <w:tcW w:w="123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检验项目</w:t>
            </w:r>
          </w:p>
        </w:tc>
        <w:tc>
          <w:tcPr>
            <w:tcW w:w="27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检验依据标准及条款</w:t>
            </w:r>
          </w:p>
        </w:tc>
        <w:tc>
          <w:tcPr>
            <w:tcW w:w="30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检验方法依据标准或条款</w:t>
            </w:r>
          </w:p>
        </w:tc>
        <w:tc>
          <w:tcPr>
            <w:tcW w:w="148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b/>
                <w:bCs/>
                <w:color w:val="000000"/>
                <w:sz w:val="21"/>
                <w:szCs w:val="21"/>
              </w:rPr>
            </w:pPr>
            <w:r>
              <w:rPr>
                <w:rFonts w:hint="eastAsia" w:ascii="宋体" w:hAnsi="宋体" w:cs="宋体"/>
                <w:b/>
                <w:bCs/>
                <w:color w:val="000000"/>
                <w:sz w:val="21"/>
                <w:szCs w:val="21"/>
              </w:rPr>
              <w:t>重要度分级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blHeader/>
          <w:jc w:val="center"/>
        </w:trPr>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p>
        </w:tc>
        <w:tc>
          <w:tcPr>
            <w:tcW w:w="27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p>
        </w:tc>
        <w:tc>
          <w:tcPr>
            <w:tcW w:w="30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r>
              <w:rPr>
                <w:rFonts w:hint="eastAsia" w:ascii="宋体" w:hAnsi="宋体" w:cs="宋体"/>
                <w:b/>
                <w:bCs/>
                <w:color w:val="000000"/>
                <w:sz w:val="21"/>
                <w:szCs w:val="21"/>
              </w:rPr>
              <w:t>A</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
                <w:bCs/>
                <w:color w:val="000000"/>
                <w:sz w:val="21"/>
                <w:szCs w:val="21"/>
              </w:rPr>
            </w:pPr>
            <w:r>
              <w:rPr>
                <w:rFonts w:hint="eastAsia" w:ascii="宋体" w:hAnsi="宋体" w:cs="宋体"/>
                <w:b/>
                <w:bCs/>
                <w:color w:val="000000"/>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静载试验</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3.4.5/3.4.6条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3.4.5/3.4.6条</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TB/T2092-2003</w:t>
            </w:r>
            <w:r>
              <w:rPr>
                <w:rFonts w:hint="eastAsia" w:ascii="宋体" w:hAnsi="宋体" w:cs="宋体"/>
                <w:kern w:val="0"/>
                <w:sz w:val="21"/>
                <w:szCs w:val="21"/>
              </w:rPr>
              <w:t>预应力混凝土铁路桥简支梁静载弯曲试验方法及评定标准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预防碱骨料反应</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TB/T3275-2011</w:t>
            </w:r>
            <w:r>
              <w:rPr>
                <w:rFonts w:hint="eastAsia" w:ascii="宋体" w:hAnsi="宋体" w:cs="宋体"/>
                <w:kern w:val="0"/>
                <w:sz w:val="21"/>
                <w:szCs w:val="21"/>
              </w:rPr>
              <w:t>铁路混凝土</w:t>
            </w:r>
            <w:r>
              <w:rPr>
                <w:rFonts w:cs="宋体" w:asciiTheme="minorEastAsia" w:hAnsiTheme="minorEastAsia" w:eastAsiaTheme="minorEastAsia"/>
                <w:bCs/>
                <w:sz w:val="21"/>
                <w:szCs w:val="21"/>
              </w:rPr>
              <w:t>5.1.2/ 5.1.6/5.1.7/7.1.5条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TB/T3432-2016</w:t>
            </w:r>
            <w:r>
              <w:rPr>
                <w:rFonts w:hint="eastAsia" w:ascii="宋体" w:hAnsi="宋体"/>
                <w:kern w:val="0"/>
                <w:sz w:val="21"/>
                <w:szCs w:val="21"/>
              </w:rPr>
              <w:t>高速铁路预制后张法预应力混凝土简支梁</w:t>
            </w:r>
            <w:r>
              <w:rPr>
                <w:rFonts w:cs="宋体" w:asciiTheme="minorEastAsia" w:hAnsiTheme="minorEastAsia" w:eastAsiaTheme="minorEastAsia"/>
                <w:bCs/>
                <w:sz w:val="21"/>
                <w:szCs w:val="21"/>
              </w:rPr>
              <w:t>3.2.2/3.2.5条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TB/T3433-2016</w:t>
            </w:r>
            <w:r>
              <w:rPr>
                <w:rFonts w:hint="eastAsia" w:ascii="宋体" w:hAnsi="宋体"/>
                <w:kern w:val="0"/>
                <w:sz w:val="21"/>
                <w:szCs w:val="21"/>
              </w:rPr>
              <w:t>高速铁路预制先张法预应力混凝土简支梁</w:t>
            </w:r>
            <w:r>
              <w:rPr>
                <w:rFonts w:cs="宋体" w:asciiTheme="minorEastAsia" w:hAnsiTheme="minorEastAsia" w:eastAsiaTheme="minorEastAsia"/>
                <w:bCs/>
                <w:sz w:val="21"/>
                <w:szCs w:val="21"/>
              </w:rPr>
              <w:t>3.2.2/3.2.5条</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GB/T176-2008</w:t>
            </w:r>
            <w:r>
              <w:rPr>
                <w:rFonts w:hint="eastAsia" w:ascii="宋体" w:hAnsi="宋体" w:cs="宋体"/>
                <w:kern w:val="0"/>
                <w:sz w:val="21"/>
                <w:szCs w:val="21"/>
              </w:rPr>
              <w:t>水泥化学分析方法</w:t>
            </w:r>
            <w:r>
              <w:rPr>
                <w:rFonts w:cs="宋体" w:asciiTheme="minorEastAsia" w:hAnsiTheme="minorEastAsia" w:eastAsiaTheme="minorEastAsia"/>
                <w:bCs/>
                <w:sz w:val="21"/>
                <w:szCs w:val="21"/>
              </w:rPr>
              <w:t>17条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TB/T2922.1-1998</w:t>
            </w:r>
            <w:r>
              <w:rPr>
                <w:rFonts w:hint="eastAsia" w:ascii="宋体" w:hAnsi="宋体" w:cs="宋体"/>
                <w:kern w:val="0"/>
                <w:sz w:val="21"/>
                <w:szCs w:val="21"/>
              </w:rPr>
              <w:t>铁路混凝土用骨料碱活性试验方法（岩相法）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TB/T2922.5-2002</w:t>
            </w:r>
            <w:r>
              <w:rPr>
                <w:rFonts w:hint="eastAsia" w:ascii="宋体" w:hAnsi="宋体" w:cs="宋体"/>
                <w:kern w:val="0"/>
                <w:sz w:val="21"/>
                <w:szCs w:val="21"/>
              </w:rPr>
              <w:t>铁路混凝土用骨料碱活性试验方法（快速砂浆棒法）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TB/T3275-2011</w:t>
            </w:r>
            <w:r>
              <w:rPr>
                <w:rFonts w:hint="eastAsia" w:ascii="宋体" w:hAnsi="宋体" w:cs="宋体"/>
                <w:kern w:val="0"/>
                <w:sz w:val="21"/>
                <w:szCs w:val="21"/>
              </w:rPr>
              <w:t>铁路混凝土</w:t>
            </w:r>
            <w:r>
              <w:rPr>
                <w:rFonts w:cs="宋体" w:asciiTheme="minorEastAsia" w:hAnsiTheme="minorEastAsia" w:eastAsiaTheme="minorEastAsia"/>
                <w:bCs/>
                <w:sz w:val="21"/>
                <w:szCs w:val="21"/>
              </w:rPr>
              <w:t>附录B</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Cs/>
                <w:sz w:val="21"/>
                <w:szCs w:val="21"/>
              </w:rPr>
            </w:pPr>
            <w:r>
              <w:rPr>
                <w:rFonts w:asciiTheme="minorEastAsia" w:hAnsiTheme="minorEastAsia" w:eastAsiaTheme="minorEastAsia"/>
                <w:bCs/>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混凝土耐久性</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TB/T3432-2016</w:t>
            </w:r>
            <w:r>
              <w:rPr>
                <w:rFonts w:hint="eastAsia" w:ascii="宋体" w:hAnsi="宋体"/>
                <w:kern w:val="0"/>
                <w:sz w:val="21"/>
                <w:szCs w:val="21"/>
              </w:rPr>
              <w:t>高速铁路预制后张法预应力混凝土简支梁</w:t>
            </w:r>
            <w:r>
              <w:rPr>
                <w:rFonts w:cs="宋体" w:asciiTheme="minorEastAsia" w:hAnsiTheme="minorEastAsia" w:eastAsiaTheme="minorEastAsia"/>
                <w:bCs/>
                <w:sz w:val="21"/>
                <w:szCs w:val="21"/>
              </w:rPr>
              <w:t>3.4.2/3.4.3条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TB/T3433-2016</w:t>
            </w:r>
            <w:r>
              <w:rPr>
                <w:rFonts w:hint="eastAsia" w:ascii="宋体" w:hAnsi="宋体"/>
                <w:kern w:val="0"/>
                <w:sz w:val="21"/>
                <w:szCs w:val="21"/>
              </w:rPr>
              <w:t>高速铁路预制先张法预应力混凝土简支梁</w:t>
            </w:r>
            <w:r>
              <w:rPr>
                <w:rFonts w:cs="宋体" w:asciiTheme="minorEastAsia" w:hAnsiTheme="minorEastAsia" w:eastAsiaTheme="minorEastAsia"/>
                <w:bCs/>
                <w:sz w:val="21"/>
                <w:szCs w:val="21"/>
              </w:rPr>
              <w:t>3.4.2/3.4.3条</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GB/T50082-2009</w:t>
            </w:r>
            <w:r>
              <w:rPr>
                <w:rFonts w:hint="eastAsia" w:ascii="宋体" w:hAnsi="宋体" w:cs="宋体"/>
                <w:kern w:val="0"/>
                <w:sz w:val="21"/>
                <w:szCs w:val="21"/>
              </w:rPr>
              <w:t>普通混凝土长期性能和耐久性能试验方法</w:t>
            </w:r>
            <w:r>
              <w:rPr>
                <w:rFonts w:cs="宋体" w:asciiTheme="minorEastAsia" w:hAnsiTheme="minorEastAsia" w:eastAsiaTheme="minorEastAsia"/>
                <w:bCs/>
                <w:sz w:val="21"/>
                <w:szCs w:val="21"/>
              </w:rPr>
              <w:t>4.2/5/7.2条</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ascii="宋体" w:hAnsi="宋体" w:cs="宋体"/>
                <w:bCs/>
                <w:sz w:val="21"/>
                <w:szCs w:val="21"/>
              </w:rPr>
            </w:pPr>
            <w:r>
              <w:rPr>
                <w:rFonts w:asciiTheme="minorEastAsia" w:hAnsiTheme="minorEastAsia" w:eastAsiaTheme="minorEastAsia"/>
                <w:bCs/>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梁体混凝土28d</w:t>
            </w:r>
            <w:r>
              <w:rPr>
                <w:rFonts w:cs="宋体" w:asciiTheme="minorEastAsia" w:hAnsiTheme="minorEastAsia" w:eastAsiaTheme="minorEastAsia"/>
                <w:bCs/>
                <w:color w:val="000000"/>
                <w:sz w:val="21"/>
                <w:szCs w:val="21"/>
              </w:rPr>
              <w:t>强度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GB/T5008</w:t>
            </w:r>
            <w:r>
              <w:rPr>
                <w:rFonts w:hint="eastAsia" w:cs="宋体" w:asciiTheme="minorEastAsia" w:hAnsiTheme="minorEastAsia" w:eastAsiaTheme="minorEastAsia"/>
                <w:bCs/>
                <w:color w:val="000000"/>
                <w:sz w:val="21"/>
                <w:szCs w:val="21"/>
              </w:rPr>
              <w:t>1</w:t>
            </w:r>
            <w:r>
              <w:rPr>
                <w:rFonts w:cs="宋体" w:asciiTheme="minorEastAsia" w:hAnsiTheme="minorEastAsia" w:eastAsiaTheme="minorEastAsia"/>
                <w:bCs/>
                <w:color w:val="000000"/>
                <w:sz w:val="21"/>
                <w:szCs w:val="21"/>
              </w:rPr>
              <w:t>-200</w:t>
            </w:r>
            <w:r>
              <w:rPr>
                <w:rFonts w:hint="eastAsia" w:cs="宋体" w:asciiTheme="minorEastAsia" w:hAnsiTheme="minorEastAsia" w:eastAsiaTheme="minorEastAsia"/>
                <w:bCs/>
                <w:color w:val="000000"/>
                <w:sz w:val="21"/>
                <w:szCs w:val="21"/>
              </w:rPr>
              <w:t>2</w:t>
            </w:r>
            <w:r>
              <w:rPr>
                <w:rFonts w:hint="eastAsia" w:ascii="宋体" w:hAnsi="宋体" w:cs="宋体"/>
                <w:kern w:val="0"/>
                <w:sz w:val="21"/>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TB10425-94</w:t>
            </w:r>
            <w:r>
              <w:rPr>
                <w:rFonts w:hint="eastAsia" w:ascii="宋体" w:hAnsi="宋体" w:cs="宋体"/>
                <w:kern w:val="0"/>
                <w:sz w:val="21"/>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梁体</w:t>
            </w:r>
            <w:r>
              <w:rPr>
                <w:rFonts w:hint="eastAsia" w:cs="宋体" w:asciiTheme="minorEastAsia" w:hAnsiTheme="minorEastAsia" w:eastAsiaTheme="minorEastAsia"/>
                <w:bCs/>
                <w:color w:val="000000"/>
                <w:sz w:val="21"/>
                <w:szCs w:val="21"/>
              </w:rPr>
              <w:t>混凝土28d</w:t>
            </w:r>
            <w:r>
              <w:rPr>
                <w:rFonts w:cs="宋体" w:asciiTheme="minorEastAsia" w:hAnsiTheme="minorEastAsia" w:eastAsiaTheme="minorEastAsia"/>
                <w:bCs/>
                <w:color w:val="000000"/>
                <w:sz w:val="21"/>
                <w:szCs w:val="21"/>
              </w:rPr>
              <w:t>弹模</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GB/T5008</w:t>
            </w:r>
            <w:r>
              <w:rPr>
                <w:rFonts w:hint="eastAsia" w:cs="宋体" w:asciiTheme="minorEastAsia" w:hAnsiTheme="minorEastAsia" w:eastAsiaTheme="minorEastAsia"/>
                <w:bCs/>
                <w:color w:val="000000"/>
                <w:sz w:val="21"/>
                <w:szCs w:val="21"/>
              </w:rPr>
              <w:t>1</w:t>
            </w:r>
            <w:r>
              <w:rPr>
                <w:rFonts w:cs="宋体" w:asciiTheme="minorEastAsia" w:hAnsiTheme="minorEastAsia" w:eastAsiaTheme="minorEastAsia"/>
                <w:bCs/>
                <w:color w:val="000000"/>
                <w:sz w:val="21"/>
                <w:szCs w:val="21"/>
              </w:rPr>
              <w:t>-200</w:t>
            </w:r>
            <w:r>
              <w:rPr>
                <w:rFonts w:hint="eastAsia" w:cs="宋体" w:asciiTheme="minorEastAsia" w:hAnsiTheme="minorEastAsia" w:eastAsiaTheme="minorEastAsia"/>
                <w:bCs/>
                <w:color w:val="000000"/>
                <w:sz w:val="21"/>
                <w:szCs w:val="21"/>
              </w:rPr>
              <w:t>2</w:t>
            </w:r>
            <w:r>
              <w:rPr>
                <w:rFonts w:hint="eastAsia" w:ascii="宋体" w:hAnsi="宋体" w:cs="宋体"/>
                <w:kern w:val="0"/>
                <w:sz w:val="21"/>
                <w:szCs w:val="21"/>
              </w:rPr>
              <w:t>普通混凝土力学性能试验方法标准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封端</w:t>
            </w:r>
            <w:r>
              <w:rPr>
                <w:rFonts w:hint="eastAsia" w:cs="宋体" w:asciiTheme="minorEastAsia" w:hAnsiTheme="minorEastAsia" w:eastAsiaTheme="minorEastAsia"/>
                <w:bCs/>
                <w:color w:val="000000"/>
                <w:sz w:val="21"/>
                <w:szCs w:val="21"/>
              </w:rPr>
              <w:t>混凝土28d</w:t>
            </w:r>
            <w:r>
              <w:rPr>
                <w:rFonts w:cs="宋体" w:asciiTheme="minorEastAsia" w:hAnsiTheme="minorEastAsia" w:eastAsiaTheme="minorEastAsia"/>
                <w:bCs/>
                <w:color w:val="000000"/>
                <w:sz w:val="21"/>
                <w:szCs w:val="21"/>
              </w:rPr>
              <w:t>强度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GB/T5008</w:t>
            </w:r>
            <w:r>
              <w:rPr>
                <w:rFonts w:hint="eastAsia" w:cs="宋体" w:asciiTheme="minorEastAsia" w:hAnsiTheme="minorEastAsia" w:eastAsiaTheme="minorEastAsia"/>
                <w:bCs/>
                <w:color w:val="000000"/>
                <w:sz w:val="21"/>
                <w:szCs w:val="21"/>
              </w:rPr>
              <w:t>1</w:t>
            </w:r>
            <w:r>
              <w:rPr>
                <w:rFonts w:cs="宋体" w:asciiTheme="minorEastAsia" w:hAnsiTheme="minorEastAsia" w:eastAsiaTheme="minorEastAsia"/>
                <w:bCs/>
                <w:color w:val="000000"/>
                <w:sz w:val="21"/>
                <w:szCs w:val="21"/>
              </w:rPr>
              <w:t>-200</w:t>
            </w:r>
            <w:r>
              <w:rPr>
                <w:rFonts w:hint="eastAsia" w:cs="宋体" w:asciiTheme="minorEastAsia" w:hAnsiTheme="minorEastAsia" w:eastAsiaTheme="minorEastAsia"/>
                <w:bCs/>
                <w:color w:val="000000"/>
                <w:sz w:val="21"/>
                <w:szCs w:val="21"/>
              </w:rPr>
              <w:t>2</w:t>
            </w:r>
            <w:r>
              <w:rPr>
                <w:rFonts w:hint="eastAsia" w:ascii="宋体" w:hAnsi="宋体" w:cs="宋体"/>
                <w:kern w:val="0"/>
                <w:sz w:val="21"/>
                <w:szCs w:val="21"/>
              </w:rPr>
              <w:t>普通混凝土力学性能试验方法标准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TB10425-94</w:t>
            </w:r>
            <w:r>
              <w:rPr>
                <w:rFonts w:hint="eastAsia" w:ascii="宋体" w:hAnsi="宋体" w:cs="宋体"/>
                <w:kern w:val="0"/>
                <w:sz w:val="21"/>
                <w:szCs w:val="21"/>
              </w:rPr>
              <w:t>铁路混凝土强度检验评定标准</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管道</w:t>
            </w:r>
            <w:r>
              <w:rPr>
                <w:rFonts w:cs="宋体" w:asciiTheme="minorEastAsia" w:hAnsiTheme="minorEastAsia" w:eastAsiaTheme="minorEastAsia"/>
                <w:bCs/>
                <w:color w:val="000000"/>
                <w:sz w:val="21"/>
                <w:szCs w:val="21"/>
              </w:rPr>
              <w:t>压浆</w:t>
            </w:r>
            <w:r>
              <w:rPr>
                <w:rFonts w:hint="eastAsia" w:cs="宋体" w:asciiTheme="minorEastAsia" w:hAnsiTheme="minorEastAsia" w:eastAsiaTheme="minorEastAsia"/>
                <w:bCs/>
                <w:color w:val="000000"/>
                <w:sz w:val="21"/>
                <w:szCs w:val="21"/>
              </w:rPr>
              <w:t>28d</w:t>
            </w:r>
            <w:r>
              <w:rPr>
                <w:rFonts w:cs="宋体" w:asciiTheme="minorEastAsia" w:hAnsiTheme="minorEastAsia" w:eastAsiaTheme="minorEastAsia"/>
                <w:bCs/>
                <w:color w:val="000000"/>
                <w:sz w:val="21"/>
                <w:szCs w:val="21"/>
              </w:rPr>
              <w:t>强度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3.4.1条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GB/T17671-1999</w:t>
            </w:r>
            <w:r>
              <w:rPr>
                <w:rFonts w:hint="eastAsia" w:ascii="宋体" w:hAnsi="宋体" w:cs="宋体"/>
                <w:kern w:val="0"/>
                <w:sz w:val="21"/>
                <w:szCs w:val="21"/>
              </w:rPr>
              <w:t>水泥胶砂强度检验方法（ISO法）</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梁体表面裂纹</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用肉眼观测预应力区，重点查看底板底面和腹板下部，不允许出现裂纹。</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桥梁全长</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w:t>
            </w:r>
            <w:r>
              <w:rPr>
                <w:rFonts w:hint="eastAsia" w:ascii="宋体" w:hAnsi="宋体"/>
                <w:kern w:val="0"/>
                <w:sz w:val="21"/>
                <w:szCs w:val="21"/>
                <w:lang w:eastAsia="zh-CN"/>
              </w:rPr>
              <w:t>先</w:t>
            </w:r>
            <w:r>
              <w:rPr>
                <w:rFonts w:hint="eastAsia" w:ascii="宋体" w:hAnsi="宋体"/>
                <w:kern w:val="0"/>
                <w:sz w:val="21"/>
                <w:szCs w:val="21"/>
              </w:rPr>
              <w:t>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用钢卷尺测量梁体全长，梁上梁下各测两处任意位置。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桥梁跨度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用钢卷尺测量梁体两侧跨度。</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梁高</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用钢卷尺直接测量梁体两端的梁高，每件梁测2处。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梁上拱</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用水准仪测量梁体两侧的上拱度，取平均值做为测量结果。</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桥面外侧偏离设计位置</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在梁端支座板中心线向上50mm为基点，固定分中规，分出桥面中心线，用钢卷尺测量桥面中心线到桥面外侧距离，测点沿长度方向相对均布，每件梁测5处。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桥面宽度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用钢卷尺直接测量桥面宽度，测点沿长度方向相对均布，每件梁测5处。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顶板厚度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用水准仪测量，测点沿长度方向相对均布，每件梁测5处。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底板厚度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用卷尺测量，测点沿长度方向相对均布，每件梁测5处。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cs="宋体" w:asciiTheme="minorEastAsia" w:hAnsiTheme="minorEastAsia" w:eastAsiaTheme="minorEastAsia"/>
                <w:bCs/>
                <w:color w:val="000000"/>
                <w:sz w:val="21"/>
                <w:szCs w:val="21"/>
              </w:rPr>
              <w:t>腹板厚度</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用卷尺测量梁端和通风孔的水平厚度，测点沿长度方向和两侧腹板相对均布，每件梁测5处。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预埋支座板</w:t>
            </w:r>
            <w:r>
              <w:rPr>
                <w:rFonts w:cs="宋体" w:asciiTheme="minorEastAsia" w:hAnsiTheme="minorEastAsia" w:eastAsiaTheme="minorEastAsia"/>
                <w:bCs/>
                <w:color w:val="000000"/>
                <w:sz w:val="21"/>
                <w:szCs w:val="21"/>
              </w:rPr>
              <w:t>外露底面</w:t>
            </w:r>
            <w:r>
              <w:rPr>
                <w:rFonts w:hint="eastAsia" w:cs="宋体" w:asciiTheme="minorEastAsia" w:hAnsiTheme="minorEastAsia" w:eastAsiaTheme="minorEastAsia"/>
                <w:bCs/>
                <w:color w:val="000000"/>
                <w:sz w:val="21"/>
                <w:szCs w:val="21"/>
              </w:rPr>
              <w:t>空腹声</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用铁锤敲击预埋的四块支座板，支座板上方混凝土有空洞现象计入超差，支座板与上方混凝土分离不计入超差。</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预埋支座板</w:t>
            </w:r>
            <w:r>
              <w:rPr>
                <w:rFonts w:cs="宋体" w:asciiTheme="minorEastAsia" w:hAnsiTheme="minorEastAsia" w:eastAsiaTheme="minorEastAsia"/>
                <w:bCs/>
                <w:color w:val="000000"/>
                <w:sz w:val="21"/>
                <w:szCs w:val="21"/>
              </w:rPr>
              <w:t>螺栓中心位置偏差</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用游标卡尺直接测量任意两个光圆直杆螺栓间距，每个支座板测5处。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预埋支座板</w:t>
            </w:r>
            <w:r>
              <w:rPr>
                <w:rFonts w:cs="宋体" w:asciiTheme="minorEastAsia" w:hAnsiTheme="minorEastAsia" w:eastAsiaTheme="minorEastAsia"/>
                <w:bCs/>
                <w:color w:val="000000"/>
                <w:sz w:val="21"/>
                <w:szCs w:val="21"/>
              </w:rPr>
              <w:t>中心横向偏离设计位置</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用两个水平尺分别靠在梁端腹板两侧，用卷尺测量底板平面与两水平尺交点位置和支座板中心位置，计算底板中心位置与支座板中心位置距离。</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接地电阻</w:t>
            </w:r>
          </w:p>
        </w:tc>
        <w:tc>
          <w:tcPr>
            <w:tcW w:w="279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r>
              <w:rPr>
                <w:rFonts w:hint="eastAsia" w:cs="宋体" w:asciiTheme="minorEastAsia" w:hAnsiTheme="minorEastAsia" w:eastAsiaTheme="minorEastAsia"/>
                <w:bCs/>
                <w:color w:val="000000"/>
                <w:sz w:val="21"/>
                <w:szCs w:val="21"/>
              </w:rPr>
              <w:t>3.4.7条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且满足设计图纸要求</w:t>
            </w:r>
          </w:p>
        </w:tc>
        <w:tc>
          <w:tcPr>
            <w:tcW w:w="3003"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TB/T3432-2016</w:t>
            </w:r>
            <w:r>
              <w:rPr>
                <w:rFonts w:hint="eastAsia" w:ascii="宋体" w:hAnsi="宋体"/>
                <w:kern w:val="0"/>
                <w:sz w:val="21"/>
                <w:szCs w:val="21"/>
              </w:rPr>
              <w:t>高速铁路预制后张法预应力混凝土简支梁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TB/T3433-2016</w:t>
            </w:r>
            <w:r>
              <w:rPr>
                <w:rFonts w:hint="eastAsia" w:ascii="宋体" w:hAnsi="宋体"/>
                <w:kern w:val="0"/>
                <w:sz w:val="21"/>
                <w:szCs w:val="21"/>
              </w:rPr>
              <w:t>高速铁路预制先张法预应力混凝土简支梁</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测试梁端接地端子至最远端接地钢筋之间的电阻，每件梁测4处。</w:t>
            </w: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cs="宋体" w:asciiTheme="minorEastAsia" w:hAnsiTheme="minorEastAsia" w:eastAsiaTheme="minorEastAsia"/>
                <w:bCs/>
                <w:color w:val="000000"/>
                <w:sz w:val="21"/>
                <w:szCs w:val="21"/>
              </w:rPr>
            </w:pPr>
            <w:r>
              <w:rPr>
                <w:rFonts w:asciiTheme="minorEastAsia" w:hAnsiTheme="minorEastAsia" w:eastAsiaTheme="minorEastAsia"/>
                <w:bCs/>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6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说明</w:t>
            </w:r>
          </w:p>
        </w:tc>
        <w:tc>
          <w:tcPr>
            <w:tcW w:w="8518" w:type="dxa"/>
            <w:gridSpan w:val="5"/>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此表适用于客货共线箱梁和客运专线箱梁，异型梁可根据需要采用；</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jc w:val="left"/>
              <w:textAlignment w:val="auto"/>
              <w:outlineLvl w:val="9"/>
              <w:rPr>
                <w:rFonts w:cs="宋体" w:asciiTheme="minorEastAsia" w:hAnsiTheme="minorEastAsia" w:eastAsiaTheme="minorEastAsia"/>
                <w:bCs/>
                <w:color w:val="000000"/>
                <w:sz w:val="21"/>
                <w:szCs w:val="21"/>
              </w:rPr>
            </w:pPr>
            <w:r>
              <w:rPr>
                <w:rFonts w:hint="eastAsia" w:cs="宋体" w:asciiTheme="minorEastAsia" w:hAnsiTheme="minorEastAsia" w:eastAsiaTheme="minorEastAsia"/>
                <w:bCs/>
                <w:color w:val="000000"/>
                <w:sz w:val="21"/>
                <w:szCs w:val="21"/>
              </w:rPr>
              <w:t>若有关桥梁的技术条件、设计图纸及验收标准存有差异或发生变更时，本《发证细则》按照“就近”“就高”“就新”的原则执行。</w:t>
            </w:r>
          </w:p>
        </w:tc>
      </w:tr>
    </w:tbl>
    <w:p>
      <w:pPr>
        <w:pStyle w:val="40"/>
        <w:keepNext w:val="0"/>
        <w:keepLines w:val="0"/>
        <w:pageBreakBefore w:val="0"/>
        <w:widowControl w:val="0"/>
        <w:tabs>
          <w:tab w:val="left" w:pos="1418"/>
        </w:tabs>
        <w:kinsoku/>
        <w:wordWrap/>
        <w:overflowPunct/>
        <w:topLinePunct w:val="0"/>
        <w:autoSpaceDE/>
        <w:autoSpaceDN/>
        <w:bidi w:val="0"/>
        <w:adjustRightInd/>
        <w:snapToGrid/>
        <w:spacing w:before="157" w:beforeLines="50" w:line="360" w:lineRule="auto"/>
        <w:ind w:left="283" w:firstLine="0" w:firstLineChars="0"/>
        <w:textAlignment w:val="auto"/>
        <w:outlineLvl w:val="9"/>
        <w:rPr>
          <w:rFonts w:cs="宋体" w:asciiTheme="minorEastAsia" w:hAnsiTheme="minorEastAsia" w:eastAsiaTheme="minorEastAsia"/>
          <w:color w:val="000000"/>
        </w:rPr>
      </w:pPr>
      <w:r>
        <w:rPr>
          <w:rFonts w:hint="eastAsia" w:ascii="宋体" w:hAnsi="宋体"/>
          <w:color w:val="000000"/>
        </w:rPr>
        <w:t>注：检验方法标准一经修订，检测机构自标准实施之日起按新标准进行检测。</w:t>
      </w:r>
    </w:p>
    <w:p>
      <w:pPr>
        <w:pStyle w:val="40"/>
        <w:tabs>
          <w:tab w:val="left" w:pos="1418"/>
        </w:tabs>
        <w:spacing w:line="360" w:lineRule="auto"/>
        <w:ind w:left="284" w:firstLine="0" w:firstLineChars="0"/>
        <w:rPr>
          <w:rFonts w:cs="宋体" w:asciiTheme="minorEastAsia" w:hAnsiTheme="minorEastAsia" w:eastAsiaTheme="minorEastAsia"/>
          <w:color w:val="000000"/>
        </w:rPr>
      </w:pPr>
      <w:r>
        <w:rPr>
          <w:rFonts w:hint="eastAsia" w:cs="宋体" w:asciiTheme="minorEastAsia" w:hAnsiTheme="minorEastAsia" w:eastAsiaTheme="minorEastAsia"/>
          <w:color w:val="000000"/>
        </w:rPr>
        <w:t>后张法</w:t>
      </w:r>
      <w:r>
        <w:rPr>
          <w:rFonts w:cs="宋体" w:asciiTheme="minorEastAsia" w:hAnsiTheme="minorEastAsia" w:eastAsiaTheme="minorEastAsia"/>
          <w:color w:val="000000"/>
        </w:rPr>
        <w:t>/先张法预应力混凝土箱型简支梁产品检测综合判定原则：</w:t>
      </w:r>
    </w:p>
    <w:p>
      <w:pPr>
        <w:pStyle w:val="40"/>
        <w:tabs>
          <w:tab w:val="left" w:pos="1418"/>
        </w:tabs>
        <w:spacing w:line="360" w:lineRule="auto"/>
        <w:rPr>
          <w:rFonts w:asciiTheme="minorEastAsia" w:hAnsiTheme="minorEastAsia" w:eastAsiaTheme="minorEastAsia"/>
          <w:bCs/>
        </w:rPr>
      </w:pPr>
      <w:r>
        <w:rPr>
          <w:rFonts w:hint="eastAsia" w:asciiTheme="minorEastAsia" w:hAnsiTheme="minorEastAsia" w:eastAsiaTheme="minorEastAsia"/>
          <w:kern w:val="0"/>
        </w:rPr>
        <w:t>（一）</w:t>
      </w:r>
      <w:r>
        <w:rPr>
          <w:rFonts w:asciiTheme="minorEastAsia" w:hAnsiTheme="minorEastAsia" w:eastAsiaTheme="minorEastAsia"/>
          <w:bCs/>
        </w:rPr>
        <w:t>A类检测项目全部合格；</w:t>
      </w:r>
    </w:p>
    <w:p>
      <w:pPr>
        <w:pStyle w:val="40"/>
        <w:tabs>
          <w:tab w:val="left" w:pos="1418"/>
        </w:tabs>
        <w:spacing w:line="360" w:lineRule="auto"/>
        <w:rPr>
          <w:rFonts w:asciiTheme="minorEastAsia" w:hAnsiTheme="minorEastAsia" w:eastAsiaTheme="minorEastAsia"/>
          <w:color w:val="000000"/>
          <w:kern w:val="0"/>
        </w:rPr>
      </w:pPr>
      <w:r>
        <w:rPr>
          <w:rFonts w:hint="eastAsia" w:asciiTheme="minorEastAsia" w:hAnsiTheme="minorEastAsia" w:eastAsiaTheme="minorEastAsia"/>
          <w:color w:val="000000"/>
          <w:kern w:val="0"/>
        </w:rPr>
        <w:t>（二）单个</w:t>
      </w:r>
      <w:r>
        <w:rPr>
          <w:rFonts w:asciiTheme="minorEastAsia" w:hAnsiTheme="minorEastAsia" w:eastAsiaTheme="minorEastAsia"/>
          <w:color w:val="000000"/>
          <w:kern w:val="0"/>
        </w:rPr>
        <w:t>B类检测项目的6件梁合格测点数量不小于6件梁测点总数量的80%，否则判该B类检测项目不合格；B类检测项目不合格数不大于4个。</w:t>
      </w:r>
    </w:p>
    <w:p>
      <w:pPr>
        <w:ind w:firstLine="420" w:firstLineChars="200"/>
        <w:rPr>
          <w:rFonts w:ascii="方正仿宋简体" w:eastAsia="方正仿宋简体"/>
          <w:color w:val="000000"/>
          <w:sz w:val="32"/>
          <w:szCs w:val="32"/>
        </w:rPr>
      </w:pPr>
      <w:r>
        <w:rPr>
          <w:rFonts w:hint="eastAsia" w:asciiTheme="minorEastAsia" w:hAnsiTheme="minorEastAsia" w:eastAsiaTheme="minorEastAsia"/>
          <w:color w:val="000000"/>
          <w:kern w:val="0"/>
        </w:rPr>
        <w:t>同时满足上述要求则判定产品检测合格，否则判定产品检测不合格。</w:t>
      </w:r>
    </w:p>
    <w:p>
      <w:pPr>
        <w:widowControl/>
        <w:jc w:val="left"/>
        <w:rPr>
          <w:rFonts w:ascii="宋体" w:hAnsi="宋体" w:cs="Calibri"/>
          <w:color w:val="000000"/>
          <w:kern w:val="0"/>
          <w:szCs w:val="21"/>
        </w:rPr>
      </w:pPr>
      <w:r>
        <w:rPr>
          <w:rFonts w:ascii="宋体" w:hAnsi="宋体"/>
          <w:color w:val="000000"/>
          <w:kern w:val="0"/>
        </w:rPr>
        <w:br w:type="page"/>
      </w:r>
    </w:p>
    <w:p>
      <w:pPr>
        <w:rPr>
          <w:rFonts w:asciiTheme="minorEastAsia" w:hAnsiTheme="minorEastAsia" w:eastAsiaTheme="minorEastAsia"/>
          <w:color w:val="000000"/>
          <w:sz w:val="28"/>
          <w:szCs w:val="28"/>
        </w:rPr>
      </w:pPr>
    </w:p>
    <w:p>
      <w:pPr>
        <w:pStyle w:val="4"/>
      </w:pPr>
      <w:bookmarkStart w:id="10" w:name="_Toc524357731"/>
      <w:r>
        <w:rPr>
          <w:rFonts w:hint="eastAsia"/>
        </w:rPr>
        <w:t xml:space="preserve">附件2 </w:t>
      </w:r>
      <w:bookmarkEnd w:id="10"/>
    </w:p>
    <w:p>
      <w:pPr>
        <w:jc w:val="center"/>
        <w:rPr>
          <w:rFonts w:ascii="宋体" w:hAnsi="宋体"/>
          <w:b/>
          <w:sz w:val="30"/>
          <w:szCs w:val="30"/>
        </w:rPr>
      </w:pPr>
    </w:p>
    <w:p>
      <w:pPr>
        <w:jc w:val="center"/>
        <w:rPr>
          <w:rFonts w:ascii="宋体" w:hAnsi="宋体"/>
          <w:b/>
          <w:sz w:val="28"/>
          <w:szCs w:val="28"/>
        </w:rPr>
      </w:pPr>
      <w:r>
        <w:rPr>
          <w:rFonts w:hint="eastAsia" w:ascii="宋体" w:hAnsi="宋体"/>
          <w:b/>
          <w:sz w:val="28"/>
          <w:szCs w:val="28"/>
        </w:rPr>
        <w:t>企业核查时准备书面材料清单</w:t>
      </w:r>
    </w:p>
    <w:p>
      <w:pPr>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附件2-1企业生产预应力混凝土铁路桥简支梁产品主要工艺流程图</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附件2-2企业生产预应力混凝土铁路桥简支梁产品生产设施和检验设施表</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附件2-3企业生产预应力混凝土铁路桥简支梁产品生产场所示意图</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附件2-4企业生产预应力混凝土铁路桥简支梁产品生产设备表</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附件2-5企业生产预应力混凝土铁路桥简支梁产品检验设备表</w:t>
      </w:r>
    </w:p>
    <w:p>
      <w:pPr>
        <w:keepNext w:val="0"/>
        <w:keepLines w:val="0"/>
        <w:pageBreakBefore w:val="0"/>
        <w:widowControl w:val="0"/>
        <w:kinsoku/>
        <w:wordWrap/>
        <w:overflowPunct/>
        <w:topLinePunct w:val="0"/>
        <w:autoSpaceDE/>
        <w:autoSpaceDN/>
        <w:bidi w:val="0"/>
        <w:adjustRightInd/>
        <w:snapToGrid/>
        <w:spacing w:line="480" w:lineRule="auto"/>
        <w:ind w:left="1522" w:leftChars="305" w:hanging="882" w:hangingChars="420"/>
        <w:textAlignment w:val="auto"/>
        <w:outlineLvl w:val="9"/>
        <w:rPr>
          <w:rFonts w:ascii="宋体" w:hAnsi="宋体"/>
          <w:szCs w:val="21"/>
        </w:rPr>
      </w:pPr>
      <w:r>
        <w:rPr>
          <w:rFonts w:hint="eastAsia" w:ascii="宋体" w:hAnsi="宋体"/>
          <w:szCs w:val="21"/>
        </w:rPr>
        <w:t>附件2-6企业生产预应力混凝土铁路桥简支梁产品关键件明细表</w:t>
      </w:r>
    </w:p>
    <w:p>
      <w:pPr>
        <w:keepNext w:val="0"/>
        <w:keepLines w:val="0"/>
        <w:pageBreakBefore w:val="0"/>
        <w:widowControl w:val="0"/>
        <w:kinsoku/>
        <w:wordWrap/>
        <w:overflowPunct/>
        <w:topLinePunct w:val="0"/>
        <w:autoSpaceDE/>
        <w:autoSpaceDN/>
        <w:bidi w:val="0"/>
        <w:adjustRightInd/>
        <w:snapToGrid/>
        <w:spacing w:line="480" w:lineRule="auto"/>
        <w:ind w:firstLine="678" w:firstLineChars="323"/>
        <w:textAlignment w:val="auto"/>
        <w:outlineLvl w:val="9"/>
        <w:rPr>
          <w:rFonts w:ascii="宋体" w:hAnsi="宋体"/>
          <w:szCs w:val="21"/>
        </w:rPr>
      </w:pPr>
      <w:r>
        <w:rPr>
          <w:rFonts w:hint="eastAsia" w:ascii="宋体" w:hAnsi="宋体"/>
          <w:szCs w:val="21"/>
        </w:rPr>
        <w:t>附件2-7关键岗位专业技术人员表</w:t>
      </w:r>
    </w:p>
    <w:p>
      <w:pPr>
        <w:keepNext w:val="0"/>
        <w:keepLines w:val="0"/>
        <w:pageBreakBefore w:val="0"/>
        <w:widowControl w:val="0"/>
        <w:kinsoku/>
        <w:wordWrap/>
        <w:overflowPunct/>
        <w:topLinePunct w:val="0"/>
        <w:autoSpaceDE/>
        <w:autoSpaceDN/>
        <w:bidi w:val="0"/>
        <w:adjustRightInd/>
        <w:snapToGrid/>
        <w:spacing w:line="480" w:lineRule="auto"/>
        <w:ind w:firstLine="678" w:firstLineChars="323"/>
        <w:textAlignment w:val="auto"/>
        <w:outlineLvl w:val="9"/>
        <w:rPr>
          <w:rFonts w:ascii="宋体" w:hAnsi="宋体"/>
          <w:szCs w:val="21"/>
        </w:rPr>
      </w:pPr>
      <w:r>
        <w:rPr>
          <w:rFonts w:hint="eastAsia" w:ascii="宋体" w:hAnsi="宋体"/>
          <w:szCs w:val="21"/>
        </w:rPr>
        <w:t>附件2-8产品技术文件和工艺文件清单</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r>
        <w:rPr>
          <w:rFonts w:hint="eastAsia" w:ascii="宋体" w:hAnsi="宋体"/>
          <w:szCs w:val="21"/>
        </w:rPr>
        <w:t>企业名称：                          （盖章）</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r>
        <w:rPr>
          <w:rFonts w:hint="eastAsia" w:ascii="宋体" w:hAnsi="宋体"/>
          <w:szCs w:val="21"/>
        </w:rPr>
        <w:t>企业代表签字：                       年  月  日</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outlineLvl w:val="9"/>
        <w:rPr>
          <w:rFonts w:ascii="宋体" w:hAnsi="宋体"/>
          <w:szCs w:val="21"/>
        </w:rPr>
      </w:pPr>
      <w:r>
        <w:rPr>
          <w:rFonts w:hint="eastAsia" w:ascii="宋体" w:hAnsi="宋体"/>
          <w:szCs w:val="21"/>
        </w:rPr>
        <w:t>审查组确认签字：                     年  月  日</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本清单内所有书面材料经实地核查确认后企业加盖骑缝章。</w:t>
      </w:r>
    </w:p>
    <w:p>
      <w:pPr>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pStyle w:val="4"/>
        <w:spacing w:line="360" w:lineRule="auto"/>
        <w:rPr>
          <w:rFonts w:ascii="宋体" w:hAnsi="宋体"/>
          <w:szCs w:val="21"/>
        </w:rPr>
      </w:pPr>
      <w:bookmarkStart w:id="11" w:name="_Toc524357732"/>
      <w:r>
        <w:rPr>
          <w:rFonts w:hint="eastAsia" w:asciiTheme="minorEastAsia" w:hAnsiTheme="minorEastAsia" w:eastAsiaTheme="minorEastAsia"/>
          <w:b w:val="0"/>
          <w:color w:val="000000"/>
          <w:sz w:val="28"/>
          <w:szCs w:val="28"/>
        </w:rPr>
        <w:t>附件2-1</w:t>
      </w:r>
      <w:bookmarkEnd w:id="11"/>
    </w:p>
    <w:p>
      <w:pPr>
        <w:jc w:val="center"/>
        <w:rPr>
          <w:rFonts w:ascii="宋体" w:hAnsi="宋体"/>
          <w:b/>
          <w:sz w:val="28"/>
          <w:szCs w:val="28"/>
        </w:rPr>
      </w:pPr>
      <w:r>
        <w:rPr>
          <w:rFonts w:hint="eastAsia" w:ascii="宋体" w:hAnsi="宋体"/>
          <w:b/>
          <w:sz w:val="28"/>
          <w:szCs w:val="28"/>
        </w:rPr>
        <w:t>企业生产预应力混凝土铁路桥简支梁产品主要工艺流程图</w:t>
      </w:r>
    </w:p>
    <w:p>
      <w:pPr>
        <w:spacing w:line="380" w:lineRule="exact"/>
        <w:ind w:firstLine="411" w:firstLineChars="195"/>
        <w:jc w:val="right"/>
        <w:rPr>
          <w:rFonts w:ascii="宋体" w:hAnsi="宋体"/>
          <w:b/>
          <w:i/>
          <w:iCs/>
          <w:kern w:val="0"/>
          <w:sz w:val="30"/>
          <w:szCs w:val="30"/>
        </w:rPr>
      </w:pPr>
      <w:r>
        <w:rPr>
          <w:rFonts w:hint="eastAsia"/>
          <w:b/>
          <w:szCs w:val="21"/>
        </w:rPr>
        <w:t>第  页   共  页</w:t>
      </w:r>
    </w:p>
    <w:tbl>
      <w:tblPr>
        <w:tblStyle w:val="19"/>
        <w:tblW w:w="9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46"/>
        <w:gridCol w:w="4431"/>
        <w:gridCol w:w="1165"/>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5" w:hRule="atLeast"/>
          <w:jc w:val="center"/>
        </w:trPr>
        <w:tc>
          <w:tcPr>
            <w:tcW w:w="9505" w:type="dxa"/>
            <w:gridSpan w:val="4"/>
            <w:shd w:val="clear" w:color="auto" w:fill="FFFFFF"/>
            <w:vAlign w:val="center"/>
          </w:tcPr>
          <w:p>
            <w:pPr>
              <w:pStyle w:val="37"/>
              <w:ind w:firstLine="3584" w:firstLineChars="1700"/>
              <w:jc w:val="left"/>
              <w:rPr>
                <w:b/>
                <w:sz w:val="21"/>
                <w:szCs w:val="21"/>
              </w:rPr>
            </w:pPr>
            <w:r>
              <w:rPr>
                <w:rFonts w:hint="eastAsia"/>
                <w:b/>
                <w:sz w:val="21"/>
                <w:szCs w:val="21"/>
              </w:rPr>
              <w:t xml:space="preserve">企 业 申 请 填 写 内 容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14" w:hRule="atLeast"/>
          <w:jc w:val="center"/>
        </w:trPr>
        <w:tc>
          <w:tcPr>
            <w:tcW w:w="1446" w:type="dxa"/>
            <w:shd w:val="clear" w:color="auto" w:fill="FFFFFF"/>
            <w:vAlign w:val="center"/>
          </w:tcPr>
          <w:p>
            <w:pPr>
              <w:pStyle w:val="37"/>
              <w:jc w:val="center"/>
              <w:rPr>
                <w:sz w:val="21"/>
                <w:szCs w:val="21"/>
              </w:rPr>
            </w:pPr>
            <w:r>
              <w:rPr>
                <w:rFonts w:hint="eastAsia"/>
                <w:sz w:val="21"/>
                <w:szCs w:val="21"/>
              </w:rPr>
              <w:t>企业名称</w:t>
            </w:r>
          </w:p>
        </w:tc>
        <w:tc>
          <w:tcPr>
            <w:tcW w:w="4431" w:type="dxa"/>
            <w:shd w:val="clear" w:color="auto" w:fill="FFFFFF"/>
            <w:vAlign w:val="center"/>
          </w:tcPr>
          <w:p>
            <w:pPr>
              <w:pStyle w:val="37"/>
              <w:rPr>
                <w:sz w:val="21"/>
                <w:szCs w:val="21"/>
              </w:rPr>
            </w:pPr>
          </w:p>
        </w:tc>
        <w:tc>
          <w:tcPr>
            <w:tcW w:w="1165" w:type="dxa"/>
            <w:shd w:val="clear" w:color="auto" w:fill="FFFFFF"/>
            <w:vAlign w:val="center"/>
          </w:tcPr>
          <w:p>
            <w:pPr>
              <w:pStyle w:val="37"/>
              <w:rPr>
                <w:sz w:val="21"/>
                <w:szCs w:val="21"/>
              </w:rPr>
            </w:pPr>
            <w:r>
              <w:rPr>
                <w:rFonts w:hint="eastAsia"/>
                <w:sz w:val="21"/>
                <w:szCs w:val="21"/>
              </w:rPr>
              <w:t>填写日期</w:t>
            </w:r>
          </w:p>
        </w:tc>
        <w:tc>
          <w:tcPr>
            <w:tcW w:w="2463" w:type="dxa"/>
            <w:shd w:val="clear" w:color="auto" w:fill="FFFFFF"/>
            <w:vAlign w:val="center"/>
          </w:tcPr>
          <w:p>
            <w:pPr>
              <w:pStyle w:val="37"/>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8" w:hRule="atLeast"/>
          <w:jc w:val="center"/>
        </w:trPr>
        <w:tc>
          <w:tcPr>
            <w:tcW w:w="1446" w:type="dxa"/>
            <w:shd w:val="clear" w:color="auto" w:fill="FFFFFF"/>
            <w:vAlign w:val="center"/>
          </w:tcPr>
          <w:p>
            <w:pPr>
              <w:pStyle w:val="37"/>
              <w:jc w:val="center"/>
              <w:rPr>
                <w:sz w:val="21"/>
                <w:szCs w:val="21"/>
              </w:rPr>
            </w:pPr>
            <w:r>
              <w:rPr>
                <w:rFonts w:hint="eastAsia"/>
                <w:sz w:val="21"/>
                <w:szCs w:val="21"/>
              </w:rPr>
              <w:t>产品单元</w:t>
            </w:r>
          </w:p>
        </w:tc>
        <w:tc>
          <w:tcPr>
            <w:tcW w:w="8059" w:type="dxa"/>
            <w:gridSpan w:val="3"/>
            <w:shd w:val="clear" w:color="auto" w:fill="FFFFFF"/>
          </w:tcPr>
          <w:p>
            <w:pPr>
              <w:pStyle w:val="37"/>
              <w:rPr>
                <w:b/>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736" w:hRule="atLeast"/>
          <w:jc w:val="center"/>
        </w:trPr>
        <w:tc>
          <w:tcPr>
            <w:tcW w:w="1446" w:type="dxa"/>
            <w:shd w:val="clear" w:color="auto" w:fill="FFFFFF"/>
            <w:vAlign w:val="center"/>
          </w:tcPr>
          <w:p>
            <w:pPr>
              <w:pStyle w:val="37"/>
              <w:jc w:val="center"/>
              <w:rPr>
                <w:sz w:val="21"/>
                <w:szCs w:val="21"/>
              </w:rPr>
            </w:pPr>
            <w:r>
              <w:rPr>
                <w:rFonts w:hint="eastAsia"/>
                <w:sz w:val="21"/>
                <w:szCs w:val="21"/>
              </w:rPr>
              <w:t>工艺流程图</w:t>
            </w:r>
          </w:p>
          <w:p>
            <w:pPr>
              <w:pStyle w:val="37"/>
              <w:jc w:val="center"/>
              <w:rPr>
                <w:sz w:val="21"/>
                <w:szCs w:val="21"/>
              </w:rPr>
            </w:pPr>
            <w:r>
              <w:rPr>
                <w:rFonts w:hint="eastAsia"/>
                <w:sz w:val="21"/>
                <w:szCs w:val="21"/>
              </w:rPr>
              <w:t>（企业填写）</w:t>
            </w:r>
          </w:p>
        </w:tc>
        <w:tc>
          <w:tcPr>
            <w:tcW w:w="8059" w:type="dxa"/>
            <w:gridSpan w:val="3"/>
            <w:shd w:val="clear" w:color="auto" w:fill="FFFFFF"/>
          </w:tcPr>
          <w:p>
            <w:pPr>
              <w:pStyle w:val="37"/>
              <w:jc w:val="left"/>
              <w:rPr>
                <w:sz w:val="21"/>
                <w:szCs w:val="21"/>
              </w:rPr>
            </w:pPr>
            <w:r>
              <w:rPr>
                <w:rFonts w:hint="eastAsia"/>
                <w:sz w:val="21"/>
                <w:szCs w:val="21"/>
              </w:rPr>
              <w:t>（以框图+箭头方式表述企业生产该产品的实际工艺流程、并以“</w:t>
            </w:r>
            <w:r>
              <w:rPr>
                <w:rFonts w:hint="eastAsia" w:ascii="宋体" w:hAnsi="宋体" w:cs="宋体"/>
                <w:b/>
                <w:sz w:val="24"/>
                <w:szCs w:val="24"/>
              </w:rPr>
              <w:t>◆、</w:t>
            </w:r>
            <w:r>
              <w:rPr>
                <w:rFonts w:hint="eastAsia"/>
                <w:sz w:val="21"/>
                <w:szCs w:val="21"/>
              </w:rPr>
              <w:t>★、</w:t>
            </w:r>
            <w:r>
              <w:rPr>
                <w:rFonts w:hint="eastAsia" w:ascii="宋体" w:hAnsi="宋体" w:cs="宋体"/>
                <w:b/>
                <w:sz w:val="24"/>
                <w:szCs w:val="24"/>
              </w:rPr>
              <w:t>▲</w:t>
            </w:r>
            <w:r>
              <w:rPr>
                <w:rFonts w:hint="eastAsia"/>
                <w:sz w:val="21"/>
                <w:szCs w:val="21"/>
              </w:rPr>
              <w:t>”在相应的框图上表示关键工序、质量控制点、特殊过程）：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0" w:hRule="atLeast"/>
          <w:jc w:val="center"/>
        </w:trPr>
        <w:tc>
          <w:tcPr>
            <w:tcW w:w="9505" w:type="dxa"/>
            <w:gridSpan w:val="4"/>
            <w:shd w:val="clear" w:color="auto" w:fill="FFFFFF"/>
            <w:vAlign w:val="center"/>
          </w:tcPr>
          <w:p>
            <w:pPr>
              <w:pStyle w:val="37"/>
              <w:jc w:val="center"/>
              <w:rPr>
                <w:sz w:val="21"/>
                <w:szCs w:val="21"/>
              </w:rPr>
            </w:pPr>
            <w:r>
              <w:rPr>
                <w:rFonts w:hint="eastAsia"/>
                <w:b/>
                <w:sz w:val="21"/>
                <w:szCs w:val="21"/>
              </w:rPr>
              <w:t>现场核查后填写内容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17" w:hRule="atLeast"/>
          <w:jc w:val="center"/>
        </w:trPr>
        <w:tc>
          <w:tcPr>
            <w:tcW w:w="1446" w:type="dxa"/>
            <w:shd w:val="clear" w:color="auto" w:fill="FFFFFF"/>
            <w:vAlign w:val="center"/>
          </w:tcPr>
          <w:p>
            <w:pPr>
              <w:pStyle w:val="37"/>
              <w:jc w:val="center"/>
              <w:rPr>
                <w:sz w:val="21"/>
                <w:szCs w:val="21"/>
              </w:rPr>
            </w:pPr>
            <w:r>
              <w:rPr>
                <w:rFonts w:hint="eastAsia"/>
                <w:sz w:val="21"/>
                <w:szCs w:val="21"/>
              </w:rPr>
              <w:t>审查组</w:t>
            </w:r>
          </w:p>
          <w:p>
            <w:pPr>
              <w:pStyle w:val="37"/>
              <w:jc w:val="center"/>
              <w:rPr>
                <w:sz w:val="21"/>
                <w:szCs w:val="21"/>
              </w:rPr>
            </w:pPr>
            <w:r>
              <w:rPr>
                <w:rFonts w:hint="eastAsia"/>
                <w:sz w:val="21"/>
                <w:szCs w:val="21"/>
              </w:rPr>
              <w:t>核查确认</w:t>
            </w:r>
          </w:p>
        </w:tc>
        <w:tc>
          <w:tcPr>
            <w:tcW w:w="8059" w:type="dxa"/>
            <w:gridSpan w:val="3"/>
            <w:shd w:val="clear" w:color="auto" w:fill="FFFFFF"/>
          </w:tcPr>
          <w:p>
            <w:pPr>
              <w:pStyle w:val="37"/>
              <w:jc w:val="left"/>
              <w:rPr>
                <w:sz w:val="21"/>
                <w:szCs w:val="21"/>
              </w:rPr>
            </w:pPr>
          </w:p>
          <w:p>
            <w:pPr>
              <w:pStyle w:val="37"/>
              <w:ind w:firstLine="420" w:firstLineChars="200"/>
              <w:jc w:val="left"/>
              <w:rPr>
                <w:sz w:val="21"/>
                <w:szCs w:val="21"/>
              </w:rPr>
            </w:pPr>
            <w:r>
              <w:rPr>
                <w:rFonts w:hint="eastAsia"/>
                <w:sz w:val="21"/>
                <w:szCs w:val="21"/>
              </w:rPr>
              <w:t>经核查，该企业生产</w:t>
            </w:r>
            <w:r>
              <w:rPr>
                <w:rFonts w:hint="eastAsia"/>
                <w:sz w:val="21"/>
                <w:szCs w:val="21"/>
                <w:u w:val="single"/>
              </w:rPr>
              <w:t xml:space="preserve">            </w:t>
            </w:r>
            <w:r>
              <w:rPr>
                <w:rFonts w:hint="eastAsia"/>
                <w:sz w:val="21"/>
                <w:szCs w:val="21"/>
              </w:rPr>
              <w:t>产品上述生产工艺流程描述与实际相符，企业对关键工序、质量控制点、特殊过程进行了识别，审查组予以确认。</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outlineLvl w:val="9"/>
      </w:pPr>
      <w:r>
        <w:rPr>
          <w:rFonts w:hint="eastAsia"/>
        </w:rPr>
        <w:t>注：1. 如产品单元生产工艺不同均应分别绘制；</w:t>
      </w:r>
    </w:p>
    <w:p>
      <w:pPr>
        <w:spacing w:line="360" w:lineRule="auto"/>
        <w:ind w:firstLine="420" w:firstLineChars="200"/>
      </w:pPr>
      <w:r>
        <w:rPr>
          <w:rFonts w:hint="eastAsia"/>
        </w:rPr>
        <w:t>2. 如采用非典型工艺的企业，应提交采用非典型工艺的说明：明示所采用的工艺流程、设备工装、加工制作方法等情况，陈述与典型工艺的主要差异（如有）。</w:t>
      </w:r>
    </w:p>
    <w:p>
      <w:pPr>
        <w:pStyle w:val="4"/>
        <w:rPr>
          <w:rFonts w:asciiTheme="minorEastAsia" w:hAnsiTheme="minorEastAsia" w:eastAsiaTheme="minorEastAsia"/>
          <w:b w:val="0"/>
          <w:color w:val="000000"/>
          <w:sz w:val="28"/>
          <w:szCs w:val="28"/>
        </w:rPr>
      </w:pPr>
      <w:bookmarkStart w:id="12" w:name="_Toc524357733"/>
      <w:r>
        <w:rPr>
          <w:rFonts w:hint="eastAsia" w:asciiTheme="minorEastAsia" w:hAnsiTheme="minorEastAsia" w:eastAsiaTheme="minorEastAsia"/>
          <w:color w:val="000000"/>
        </w:rPr>
        <w:t xml:space="preserve">附件2-2 </w:t>
      </w:r>
      <w:bookmarkEnd w:id="12"/>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outlineLvl w:val="9"/>
        <w:rPr>
          <w:rFonts w:ascii="宋体" w:hAnsi="宋体"/>
          <w:b/>
          <w:sz w:val="28"/>
          <w:szCs w:val="28"/>
        </w:rPr>
      </w:pPr>
      <w:r>
        <w:rPr>
          <w:rFonts w:hint="eastAsia" w:ascii="宋体" w:hAnsi="宋体"/>
          <w:b/>
          <w:sz w:val="28"/>
          <w:szCs w:val="28"/>
        </w:rPr>
        <w:t>企业生产预应力混凝土铁路桥简支梁产品生产设施和检验设施表</w:t>
      </w:r>
    </w:p>
    <w:tbl>
      <w:tblPr>
        <w:tblStyle w:val="19"/>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81"/>
        <w:gridCol w:w="2337"/>
        <w:gridCol w:w="378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0"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序号</w:t>
            </w:r>
          </w:p>
        </w:tc>
        <w:tc>
          <w:tcPr>
            <w:tcW w:w="1081"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产品单元</w:t>
            </w:r>
          </w:p>
        </w:tc>
        <w:tc>
          <w:tcPr>
            <w:tcW w:w="2337"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生产设施名称</w:t>
            </w:r>
          </w:p>
        </w:tc>
        <w:tc>
          <w:tcPr>
            <w:tcW w:w="3780"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设施特征及用途描述</w:t>
            </w:r>
          </w:p>
        </w:tc>
        <w:tc>
          <w:tcPr>
            <w:tcW w:w="1470" w:type="dxa"/>
            <w:vMerge w:val="restart"/>
            <w:vAlign w:val="center"/>
          </w:tcPr>
          <w:p>
            <w:pPr>
              <w:adjustRightInd w:val="0"/>
              <w:jc w:val="center"/>
              <w:textAlignment w:val="baseline"/>
              <w:rPr>
                <w:rFonts w:ascii="宋体" w:hAnsi="Courier New"/>
                <w:b/>
                <w:color w:val="000000"/>
              </w:rPr>
            </w:pPr>
            <w:r>
              <w:rPr>
                <w:rFonts w:hint="eastAsia" w:ascii="宋体" w:hAnsi="Courier New"/>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80" w:type="dxa"/>
            <w:vMerge w:val="continue"/>
            <w:vAlign w:val="center"/>
          </w:tcPr>
          <w:p>
            <w:pPr>
              <w:adjustRightInd w:val="0"/>
              <w:jc w:val="center"/>
              <w:textAlignment w:val="baseline"/>
              <w:rPr>
                <w:rFonts w:ascii="宋体" w:hAnsi="Courier New"/>
                <w:b/>
                <w:color w:val="000000"/>
              </w:rPr>
            </w:pPr>
          </w:p>
        </w:tc>
        <w:tc>
          <w:tcPr>
            <w:tcW w:w="1081" w:type="dxa"/>
            <w:vMerge w:val="continue"/>
            <w:vAlign w:val="center"/>
          </w:tcPr>
          <w:p>
            <w:pPr>
              <w:adjustRightInd w:val="0"/>
              <w:jc w:val="center"/>
              <w:textAlignment w:val="baseline"/>
              <w:rPr>
                <w:rFonts w:ascii="宋体" w:hAnsi="Courier New"/>
                <w:b/>
                <w:color w:val="000000"/>
              </w:rPr>
            </w:pPr>
          </w:p>
        </w:tc>
        <w:tc>
          <w:tcPr>
            <w:tcW w:w="2337" w:type="dxa"/>
            <w:vMerge w:val="continue"/>
            <w:vAlign w:val="center"/>
          </w:tcPr>
          <w:p>
            <w:pPr>
              <w:adjustRightInd w:val="0"/>
              <w:jc w:val="center"/>
              <w:textAlignment w:val="baseline"/>
              <w:rPr>
                <w:rFonts w:ascii="宋体" w:hAnsi="Courier New"/>
                <w:b/>
                <w:color w:val="000000"/>
              </w:rPr>
            </w:pPr>
          </w:p>
        </w:tc>
        <w:tc>
          <w:tcPr>
            <w:tcW w:w="3780" w:type="dxa"/>
            <w:vMerge w:val="continue"/>
            <w:vAlign w:val="center"/>
          </w:tcPr>
          <w:p>
            <w:pPr>
              <w:adjustRightInd w:val="0"/>
              <w:jc w:val="center"/>
              <w:textAlignment w:val="baseline"/>
              <w:rPr>
                <w:rFonts w:ascii="宋体" w:hAnsi="Courier New"/>
                <w:b/>
                <w:color w:val="000000"/>
              </w:rPr>
            </w:pPr>
          </w:p>
        </w:tc>
        <w:tc>
          <w:tcPr>
            <w:tcW w:w="1470" w:type="dxa"/>
            <w:vMerge w:val="continue"/>
            <w:vAlign w:val="center"/>
          </w:tcPr>
          <w:p>
            <w:pPr>
              <w:adjustRightInd w:val="0"/>
              <w:jc w:val="center"/>
              <w:textAlignment w:val="baseline"/>
              <w:rPr>
                <w:rFonts w:ascii="宋体" w:hAnsi="Courier New"/>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试验室</w:t>
            </w:r>
          </w:p>
        </w:tc>
        <w:tc>
          <w:tcPr>
            <w:tcW w:w="3780" w:type="dxa"/>
          </w:tcPr>
          <w:p>
            <w:pPr>
              <w:adjustRightInd w:val="0"/>
              <w:textAlignment w:val="baseline"/>
              <w:rPr>
                <w:rFonts w:ascii="宋体" w:hAnsi="Courier New"/>
                <w:color w:val="000000"/>
              </w:rPr>
            </w:pPr>
            <w:r>
              <w:rPr>
                <w:rFonts w:hint="eastAsia" w:ascii="宋体" w:hAnsi="Courier New"/>
                <w:color w:val="000000"/>
              </w:rPr>
              <w:t>（包含对应本细则表3-1，满足其要求等情况）</w:t>
            </w:r>
          </w:p>
        </w:tc>
        <w:tc>
          <w:tcPr>
            <w:tcW w:w="147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钢筋加工车间</w:t>
            </w:r>
          </w:p>
        </w:tc>
        <w:tc>
          <w:tcPr>
            <w:tcW w:w="3780" w:type="dxa"/>
          </w:tcPr>
          <w:p>
            <w:pPr>
              <w:adjustRightInd w:val="0"/>
              <w:textAlignment w:val="baseline"/>
              <w:rPr>
                <w:rFonts w:ascii="宋体" w:hAnsi="Courier New"/>
                <w:color w:val="000000"/>
              </w:rPr>
            </w:pPr>
          </w:p>
        </w:tc>
        <w:tc>
          <w:tcPr>
            <w:tcW w:w="147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骨料仓</w:t>
            </w:r>
          </w:p>
        </w:tc>
        <w:tc>
          <w:tcPr>
            <w:tcW w:w="3780" w:type="dxa"/>
          </w:tcPr>
          <w:p>
            <w:pPr>
              <w:adjustRightInd w:val="0"/>
              <w:textAlignment w:val="baseline"/>
              <w:rPr>
                <w:rFonts w:ascii="宋体" w:hAnsi="Courier New"/>
                <w:color w:val="000000"/>
              </w:rPr>
            </w:pPr>
          </w:p>
        </w:tc>
        <w:tc>
          <w:tcPr>
            <w:tcW w:w="147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原材料库房</w:t>
            </w:r>
          </w:p>
        </w:tc>
        <w:tc>
          <w:tcPr>
            <w:tcW w:w="3780" w:type="dxa"/>
          </w:tcPr>
          <w:p>
            <w:pPr>
              <w:adjustRightInd w:val="0"/>
              <w:textAlignment w:val="baseline"/>
              <w:rPr>
                <w:rFonts w:ascii="宋体" w:hAnsi="Courier New"/>
                <w:color w:val="000000"/>
              </w:rPr>
            </w:pPr>
          </w:p>
        </w:tc>
        <w:tc>
          <w:tcPr>
            <w:tcW w:w="147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80" w:type="dxa"/>
          </w:tcPr>
          <w:p>
            <w:pPr>
              <w:adjustRightInd w:val="0"/>
              <w:textAlignment w:val="baseline"/>
              <w:rPr>
                <w:rFonts w:ascii="宋体" w:hAnsi="Courier New"/>
                <w:color w:val="000000"/>
              </w:rPr>
            </w:pPr>
          </w:p>
        </w:tc>
        <w:tc>
          <w:tcPr>
            <w:tcW w:w="1081" w:type="dxa"/>
          </w:tcPr>
          <w:p>
            <w:pPr>
              <w:adjustRightInd w:val="0"/>
              <w:textAlignment w:val="baseline"/>
              <w:rPr>
                <w:rFonts w:ascii="宋体" w:hAnsi="Courier New"/>
                <w:color w:val="000000"/>
              </w:rPr>
            </w:pPr>
          </w:p>
        </w:tc>
        <w:tc>
          <w:tcPr>
            <w:tcW w:w="2337" w:type="dxa"/>
            <w:vAlign w:val="center"/>
          </w:tcPr>
          <w:p>
            <w:pPr>
              <w:adjustRightInd w:val="0"/>
              <w:jc w:val="center"/>
              <w:textAlignment w:val="baseline"/>
              <w:rPr>
                <w:rFonts w:ascii="宋体" w:hAnsi="Courier New"/>
                <w:color w:val="000000"/>
              </w:rPr>
            </w:pPr>
            <w:r>
              <w:rPr>
                <w:rFonts w:hint="eastAsia" w:ascii="宋体" w:hAnsi="Courier New"/>
                <w:color w:val="000000"/>
              </w:rPr>
              <w:t>蓄水池</w:t>
            </w:r>
          </w:p>
        </w:tc>
        <w:tc>
          <w:tcPr>
            <w:tcW w:w="3780" w:type="dxa"/>
          </w:tcPr>
          <w:p>
            <w:pPr>
              <w:adjustRightInd w:val="0"/>
              <w:textAlignment w:val="baseline"/>
              <w:rPr>
                <w:rFonts w:ascii="宋体" w:hAnsi="Courier New"/>
                <w:color w:val="000000"/>
              </w:rPr>
            </w:pPr>
          </w:p>
        </w:tc>
        <w:tc>
          <w:tcPr>
            <w:tcW w:w="1470" w:type="dxa"/>
          </w:tcPr>
          <w:p>
            <w:pPr>
              <w:adjustRightInd w:val="0"/>
              <w:textAlignment w:val="baseline"/>
              <w:rPr>
                <w:rFonts w:ascii="宋体" w:hAnsi="Courier New"/>
                <w:color w:val="000000"/>
              </w:rPr>
            </w:pPr>
          </w:p>
        </w:tc>
      </w:tr>
    </w:tbl>
    <w:p>
      <w:pPr>
        <w:rPr>
          <w:color w:val="FF0000"/>
        </w:rPr>
      </w:pPr>
    </w:p>
    <w:p>
      <w:pPr>
        <w:spacing w:line="360" w:lineRule="auto"/>
      </w:pPr>
      <w:r>
        <w:rPr>
          <w:rFonts w:hint="eastAsia"/>
        </w:rPr>
        <w:t>注：企业多场所的均应填写。</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pPr>
      <w:r>
        <w:rPr>
          <w:rFonts w:hint="eastAsia"/>
        </w:rPr>
        <w:t xml:space="preserve">  </w:t>
      </w:r>
    </w:p>
    <w:p>
      <w:pPr>
        <w:pStyle w:val="4"/>
        <w:spacing w:line="360" w:lineRule="auto"/>
        <w:ind w:left="2716" w:hanging="2716" w:hangingChars="970"/>
        <w:rPr>
          <w:rFonts w:asciiTheme="minorEastAsia" w:hAnsiTheme="minorEastAsia" w:eastAsiaTheme="minorEastAsia"/>
          <w:b w:val="0"/>
          <w:color w:val="000000"/>
          <w:sz w:val="28"/>
          <w:szCs w:val="28"/>
        </w:rPr>
      </w:pPr>
      <w:bookmarkStart w:id="13" w:name="_Toc524357734"/>
      <w:r>
        <w:rPr>
          <w:rFonts w:hint="eastAsia" w:asciiTheme="minorEastAsia" w:hAnsiTheme="minorEastAsia" w:eastAsiaTheme="minorEastAsia"/>
          <w:b w:val="0"/>
          <w:color w:val="000000"/>
          <w:sz w:val="28"/>
          <w:szCs w:val="28"/>
        </w:rPr>
        <w:t xml:space="preserve">附件2-3 </w:t>
      </w:r>
      <w:bookmarkEnd w:id="13"/>
    </w:p>
    <w:p>
      <w:pPr>
        <w:spacing w:line="380" w:lineRule="exact"/>
        <w:ind w:firstLine="548" w:firstLineChars="195"/>
        <w:jc w:val="center"/>
        <w:rPr>
          <w:rFonts w:ascii="宋体" w:hAnsi="宋体"/>
          <w:b/>
          <w:sz w:val="28"/>
          <w:szCs w:val="28"/>
        </w:rPr>
      </w:pPr>
      <w:r>
        <w:rPr>
          <w:rFonts w:hint="eastAsia" w:ascii="宋体" w:hAnsi="宋体"/>
          <w:b/>
          <w:sz w:val="28"/>
          <w:szCs w:val="28"/>
        </w:rPr>
        <w:t xml:space="preserve">企业生产预应力混凝土铁路桥简支梁产品生产场所示意图   </w:t>
      </w:r>
    </w:p>
    <w:p>
      <w:pPr>
        <w:spacing w:line="380" w:lineRule="exact"/>
        <w:ind w:firstLine="411" w:firstLineChars="195"/>
        <w:jc w:val="right"/>
        <w:rPr>
          <w:rFonts w:ascii="宋体" w:hAnsi="宋体"/>
          <w:b/>
          <w:i/>
          <w:iCs/>
          <w:kern w:val="0"/>
          <w:sz w:val="30"/>
          <w:szCs w:val="30"/>
        </w:rPr>
      </w:pPr>
      <w:r>
        <w:rPr>
          <w:rFonts w:hint="eastAsia"/>
          <w:b/>
          <w:szCs w:val="21"/>
        </w:rPr>
        <w:t>第 页   共  页</w:t>
      </w:r>
    </w:p>
    <w:tbl>
      <w:tblPr>
        <w:tblStyle w:val="19"/>
        <w:tblW w:w="95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46"/>
        <w:gridCol w:w="4431"/>
        <w:gridCol w:w="1165"/>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14" w:hRule="atLeast"/>
          <w:jc w:val="center"/>
        </w:trPr>
        <w:tc>
          <w:tcPr>
            <w:tcW w:w="1446" w:type="dxa"/>
            <w:shd w:val="clear" w:color="auto" w:fill="FFFFFF"/>
            <w:vAlign w:val="center"/>
          </w:tcPr>
          <w:p>
            <w:pPr>
              <w:pStyle w:val="37"/>
              <w:jc w:val="center"/>
              <w:rPr>
                <w:sz w:val="21"/>
                <w:szCs w:val="21"/>
              </w:rPr>
            </w:pPr>
            <w:r>
              <w:rPr>
                <w:rFonts w:hint="eastAsia"/>
                <w:sz w:val="21"/>
                <w:szCs w:val="21"/>
              </w:rPr>
              <w:t>企业名称</w:t>
            </w:r>
          </w:p>
        </w:tc>
        <w:tc>
          <w:tcPr>
            <w:tcW w:w="4431" w:type="dxa"/>
            <w:shd w:val="clear" w:color="auto" w:fill="FFFFFF"/>
            <w:vAlign w:val="center"/>
          </w:tcPr>
          <w:p>
            <w:pPr>
              <w:pStyle w:val="37"/>
              <w:rPr>
                <w:sz w:val="21"/>
                <w:szCs w:val="21"/>
              </w:rPr>
            </w:pPr>
          </w:p>
        </w:tc>
        <w:tc>
          <w:tcPr>
            <w:tcW w:w="1165" w:type="dxa"/>
            <w:shd w:val="clear" w:color="auto" w:fill="FFFFFF"/>
            <w:vAlign w:val="center"/>
          </w:tcPr>
          <w:p>
            <w:pPr>
              <w:pStyle w:val="37"/>
              <w:rPr>
                <w:sz w:val="21"/>
                <w:szCs w:val="21"/>
              </w:rPr>
            </w:pPr>
            <w:r>
              <w:rPr>
                <w:rFonts w:hint="eastAsia"/>
                <w:sz w:val="21"/>
                <w:szCs w:val="21"/>
              </w:rPr>
              <w:t>填写日期</w:t>
            </w:r>
          </w:p>
        </w:tc>
        <w:tc>
          <w:tcPr>
            <w:tcW w:w="2463" w:type="dxa"/>
            <w:shd w:val="clear" w:color="auto" w:fill="FFFFFF"/>
            <w:vAlign w:val="center"/>
          </w:tcPr>
          <w:p>
            <w:pPr>
              <w:pStyle w:val="37"/>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46" w:type="dxa"/>
            <w:shd w:val="clear" w:color="auto" w:fill="FFFFFF"/>
            <w:vAlign w:val="center"/>
          </w:tcPr>
          <w:p>
            <w:pPr>
              <w:pStyle w:val="37"/>
              <w:jc w:val="center"/>
              <w:rPr>
                <w:sz w:val="21"/>
                <w:szCs w:val="21"/>
              </w:rPr>
            </w:pPr>
            <w:r>
              <w:rPr>
                <w:rFonts w:hint="eastAsia"/>
                <w:sz w:val="21"/>
                <w:szCs w:val="21"/>
              </w:rPr>
              <w:t>生产地址</w:t>
            </w:r>
          </w:p>
        </w:tc>
        <w:tc>
          <w:tcPr>
            <w:tcW w:w="8059" w:type="dxa"/>
            <w:gridSpan w:val="3"/>
            <w:shd w:val="clear" w:color="auto" w:fill="FFFFFF"/>
            <w:vAlign w:val="center"/>
          </w:tcPr>
          <w:p>
            <w:pPr>
              <w:pStyle w:val="37"/>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99" w:hRule="atLeast"/>
          <w:jc w:val="center"/>
        </w:trPr>
        <w:tc>
          <w:tcPr>
            <w:tcW w:w="9505" w:type="dxa"/>
            <w:gridSpan w:val="4"/>
            <w:shd w:val="clear" w:color="auto" w:fill="FFFFFF"/>
          </w:tcPr>
          <w:p>
            <w:pPr>
              <w:pStyle w:val="37"/>
              <w:keepNext w:val="0"/>
              <w:keepLines w:val="0"/>
              <w:pageBreakBefore w:val="0"/>
              <w:widowControl w:val="0"/>
              <w:kinsoku/>
              <w:wordWrap/>
              <w:overflowPunct/>
              <w:topLinePunct/>
              <w:autoSpaceDE/>
              <w:autoSpaceDN/>
              <w:bidi w:val="0"/>
              <w:adjustRightInd/>
              <w:snapToGrid/>
              <w:spacing w:before="157" w:beforeLines="50"/>
              <w:textAlignment w:val="auto"/>
              <w:outlineLvl w:val="9"/>
              <w:rPr>
                <w:sz w:val="21"/>
                <w:szCs w:val="21"/>
              </w:rPr>
            </w:pPr>
            <w:r>
              <w:rPr>
                <w:rFonts w:hint="eastAsia"/>
                <w:sz w:val="21"/>
                <w:szCs w:val="21"/>
              </w:rPr>
              <w:t>（生产场所示意图，应标明其相邻特征道路、建筑物或单位方位、距离等）</w:t>
            </w:r>
          </w:p>
        </w:tc>
      </w:tr>
    </w:tbl>
    <w:p/>
    <w:p>
      <w:pPr>
        <w:spacing w:line="360" w:lineRule="auto"/>
      </w:pPr>
      <w:r>
        <w:rPr>
          <w:rFonts w:hint="eastAsia"/>
        </w:rPr>
        <w:t>注：多场所的均应</w:t>
      </w:r>
      <w:r>
        <w:rPr>
          <w:rFonts w:hint="eastAsia"/>
          <w:szCs w:val="21"/>
        </w:rPr>
        <w:t>分别绘制</w:t>
      </w:r>
      <w:r>
        <w:rPr>
          <w:rFonts w:hint="eastAsia"/>
        </w:rPr>
        <w:t>。</w:t>
      </w:r>
    </w:p>
    <w:p>
      <w:pPr>
        <w:spacing w:line="360" w:lineRule="auto"/>
        <w:ind w:firstLine="420" w:firstLineChars="200"/>
      </w:pPr>
    </w:p>
    <w:p>
      <w:pPr>
        <w:pStyle w:val="4"/>
        <w:spacing w:line="360" w:lineRule="auto"/>
        <w:ind w:left="2921" w:hanging="2921" w:hangingChars="970"/>
        <w:rPr>
          <w:color w:val="000000"/>
        </w:rPr>
        <w:sectPr>
          <w:headerReference r:id="rId7" w:type="first"/>
          <w:footerReference r:id="rId8" w:type="default"/>
          <w:footerReference r:id="rId9" w:type="even"/>
          <w:pgSz w:w="11906" w:h="16838"/>
          <w:pgMar w:top="1418" w:right="1418" w:bottom="1418" w:left="1418" w:header="851" w:footer="992" w:gutter="0"/>
          <w:pgNumType w:start="1"/>
          <w:cols w:space="720" w:num="1"/>
          <w:docGrid w:linePitch="312" w:charSpace="0"/>
        </w:sectPr>
      </w:pPr>
    </w:p>
    <w:p>
      <w:pPr>
        <w:pStyle w:val="4"/>
      </w:pPr>
      <w:bookmarkStart w:id="14" w:name="_Toc524357735"/>
      <w:r>
        <w:rPr>
          <w:rFonts w:hint="eastAsia" w:asciiTheme="minorEastAsia" w:hAnsiTheme="minorEastAsia" w:eastAsiaTheme="minorEastAsia"/>
          <w:color w:val="000000"/>
        </w:rPr>
        <w:t xml:space="preserve">附件2-4 </w:t>
      </w:r>
      <w:bookmarkEnd w:id="14"/>
    </w:p>
    <w:p/>
    <w:p>
      <w:pPr>
        <w:spacing w:line="380" w:lineRule="exact"/>
        <w:ind w:firstLine="548" w:firstLineChars="195"/>
        <w:jc w:val="center"/>
        <w:rPr>
          <w:rFonts w:ascii="宋体" w:hAnsi="宋体"/>
          <w:b/>
          <w:sz w:val="28"/>
          <w:szCs w:val="28"/>
        </w:rPr>
      </w:pPr>
      <w:r>
        <w:rPr>
          <w:rFonts w:hint="eastAsia" w:ascii="宋体" w:hAnsi="宋体"/>
          <w:b/>
          <w:sz w:val="28"/>
          <w:szCs w:val="28"/>
        </w:rPr>
        <w:t>企业生产预应力混凝土铁路桥简支梁产品生产设备、工艺装备表</w:t>
      </w:r>
    </w:p>
    <w:p>
      <w:pPr>
        <w:spacing w:line="380" w:lineRule="exact"/>
        <w:ind w:firstLine="587" w:firstLineChars="195"/>
        <w:jc w:val="center"/>
        <w:rPr>
          <w:rFonts w:ascii="宋体" w:hAnsi="宋体"/>
          <w:b/>
          <w:sz w:val="30"/>
          <w:szCs w:val="30"/>
        </w:rPr>
      </w:pPr>
    </w:p>
    <w:tbl>
      <w:tblPr>
        <w:tblStyle w:val="19"/>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55"/>
        <w:gridCol w:w="3366"/>
        <w:gridCol w:w="3154"/>
        <w:gridCol w:w="2126"/>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序号</w:t>
            </w:r>
          </w:p>
        </w:tc>
        <w:tc>
          <w:tcPr>
            <w:tcW w:w="1555"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产品单元</w:t>
            </w:r>
          </w:p>
        </w:tc>
        <w:tc>
          <w:tcPr>
            <w:tcW w:w="3366"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生产设备、工艺装备名称</w:t>
            </w:r>
          </w:p>
        </w:tc>
        <w:tc>
          <w:tcPr>
            <w:tcW w:w="3154"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规格型号</w:t>
            </w:r>
          </w:p>
        </w:tc>
        <w:tc>
          <w:tcPr>
            <w:tcW w:w="2126"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设备编号</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其他</w:t>
            </w:r>
          </w:p>
        </w:tc>
        <w:tc>
          <w:tcPr>
            <w:tcW w:w="1560" w:type="dxa"/>
            <w:vAlign w:val="center"/>
          </w:tcPr>
          <w:p>
            <w:pPr>
              <w:keepNext w:val="0"/>
              <w:keepLines w:val="0"/>
              <w:pageBreakBefore w:val="0"/>
              <w:widowControl w:val="0"/>
              <w:kinsoku/>
              <w:wordWrap/>
              <w:overflowPunct/>
              <w:topLinePunct w:val="0"/>
              <w:autoSpaceDE/>
              <w:autoSpaceDN/>
              <w:bidi w:val="0"/>
              <w:adjustRightInd w:val="0"/>
              <w:snapToGrid/>
              <w:spacing w:before="157" w:beforeLines="50" w:after="157" w:afterLines="50"/>
              <w:jc w:val="center"/>
              <w:textAlignment w:val="baseline"/>
              <w:outlineLvl w:val="9"/>
              <w:rPr>
                <w:rFonts w:ascii="宋体" w:hAnsi="Courier New"/>
                <w:b/>
                <w:color w:val="000000"/>
              </w:rPr>
            </w:pPr>
            <w:r>
              <w:rPr>
                <w:rFonts w:hint="eastAsia" w:ascii="宋体" w:hAnsi="Courier New"/>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55"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36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3154"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2126"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701"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c>
          <w:tcPr>
            <w:tcW w:w="1560" w:type="dxa"/>
          </w:tcPr>
          <w:p>
            <w:pPr>
              <w:keepNext w:val="0"/>
              <w:keepLines w:val="0"/>
              <w:pageBreakBefore w:val="0"/>
              <w:widowControl w:val="0"/>
              <w:kinsoku/>
              <w:wordWrap/>
              <w:overflowPunct/>
              <w:topLinePunct w:val="0"/>
              <w:autoSpaceDE/>
              <w:autoSpaceDN/>
              <w:bidi w:val="0"/>
              <w:adjustRightInd w:val="0"/>
              <w:snapToGrid/>
              <w:spacing w:before="157" w:beforeLines="50" w:after="157" w:afterLines="50"/>
              <w:textAlignment w:val="baseline"/>
              <w:outlineLvl w:val="9"/>
              <w:rPr>
                <w:rFonts w:ascii="宋体" w:hAnsi="Courier New"/>
                <w:color w:val="000000"/>
              </w:rPr>
            </w:pPr>
          </w:p>
        </w:tc>
      </w:tr>
    </w:tbl>
    <w:p>
      <w:pPr>
        <w:jc w:val="center"/>
        <w:rPr>
          <w:rFonts w:ascii="宋体" w:hAnsi="宋体"/>
          <w:i/>
          <w:color w:val="FF00FF"/>
        </w:rPr>
      </w:pPr>
    </w:p>
    <w:p>
      <w:pPr>
        <w:spacing w:line="360" w:lineRule="auto"/>
      </w:pPr>
      <w:r>
        <w:rPr>
          <w:rFonts w:hint="eastAsia"/>
        </w:rPr>
        <w:t>注：多场所的均应填写，并在备注中注明生产场所。</w:t>
      </w:r>
    </w:p>
    <w:p>
      <w:pPr>
        <w:spacing w:line="360" w:lineRule="auto"/>
        <w:ind w:firstLine="735" w:firstLineChars="350"/>
      </w:pPr>
    </w:p>
    <w:p>
      <w:pPr>
        <w:spacing w:line="360" w:lineRule="auto"/>
      </w:pPr>
      <w:r>
        <w:rPr>
          <w:rFonts w:hint="eastAsia"/>
        </w:rPr>
        <w:t xml:space="preserve">   </w:t>
      </w:r>
    </w:p>
    <w:p>
      <w:pPr>
        <w:pStyle w:val="4"/>
        <w:rPr>
          <w:color w:val="000000"/>
        </w:rPr>
      </w:pPr>
      <w:r>
        <w:rPr>
          <w:color w:val="000000"/>
        </w:rPr>
        <w:br w:type="page"/>
      </w:r>
      <w:bookmarkStart w:id="15" w:name="_Toc524357736"/>
      <w:r>
        <w:rPr>
          <w:rFonts w:hint="eastAsia" w:eastAsiaTheme="minorEastAsia"/>
          <w:color w:val="000000"/>
        </w:rPr>
        <w:t xml:space="preserve">附件2-5 </w:t>
      </w:r>
      <w:bookmarkEnd w:id="15"/>
    </w:p>
    <w:p/>
    <w:p>
      <w:pPr>
        <w:jc w:val="center"/>
        <w:rPr>
          <w:rFonts w:ascii="宋体" w:hAnsi="宋体"/>
          <w:b/>
          <w:sz w:val="28"/>
          <w:szCs w:val="28"/>
        </w:rPr>
      </w:pPr>
      <w:r>
        <w:rPr>
          <w:rFonts w:hint="eastAsia" w:ascii="宋体" w:hAnsi="宋体"/>
          <w:b/>
          <w:sz w:val="28"/>
          <w:szCs w:val="28"/>
        </w:rPr>
        <w:t>企业生产预应力混凝土铁路桥简支梁产品检验设备</w:t>
      </w:r>
      <w:r>
        <w:rPr>
          <w:rFonts w:hint="eastAsia" w:ascii="宋体" w:hAnsi="宋体"/>
          <w:b/>
          <w:color w:val="000000"/>
          <w:sz w:val="28"/>
          <w:szCs w:val="28"/>
        </w:rPr>
        <w:t>表</w:t>
      </w:r>
    </w:p>
    <w:p>
      <w:pPr>
        <w:jc w:val="center"/>
        <w:rPr>
          <w:rFonts w:ascii="宋体" w:hAnsi="宋体"/>
          <w:b/>
          <w:color w:val="FF00FF"/>
        </w:rPr>
      </w:pPr>
    </w:p>
    <w:tbl>
      <w:tblPr>
        <w:tblStyle w:val="1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159"/>
        <w:gridCol w:w="1905"/>
        <w:gridCol w:w="1843"/>
        <w:gridCol w:w="1985"/>
        <w:gridCol w:w="3553"/>
        <w:gridCol w:w="759"/>
        <w:gridCol w:w="760"/>
        <w:gridCol w:w="7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0"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序号</w:t>
            </w:r>
          </w:p>
        </w:tc>
        <w:tc>
          <w:tcPr>
            <w:tcW w:w="1159"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产品单元</w:t>
            </w:r>
          </w:p>
        </w:tc>
        <w:tc>
          <w:tcPr>
            <w:tcW w:w="1905"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检验设备名称</w:t>
            </w:r>
          </w:p>
        </w:tc>
        <w:tc>
          <w:tcPr>
            <w:tcW w:w="1843"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设备规格型号</w:t>
            </w:r>
          </w:p>
        </w:tc>
        <w:tc>
          <w:tcPr>
            <w:tcW w:w="1985"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设备编号</w:t>
            </w:r>
          </w:p>
        </w:tc>
        <w:tc>
          <w:tcPr>
            <w:tcW w:w="3553"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精度或测量范围</w:t>
            </w:r>
          </w:p>
        </w:tc>
        <w:tc>
          <w:tcPr>
            <w:tcW w:w="2279" w:type="dxa"/>
            <w:gridSpan w:val="3"/>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用途</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0"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rPr>
            </w:pPr>
          </w:p>
        </w:tc>
        <w:tc>
          <w:tcPr>
            <w:tcW w:w="1159"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rPr>
            </w:pPr>
          </w:p>
        </w:tc>
        <w:tc>
          <w:tcPr>
            <w:tcW w:w="1905"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c>
          <w:tcPr>
            <w:tcW w:w="1843"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c>
          <w:tcPr>
            <w:tcW w:w="1985"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c>
          <w:tcPr>
            <w:tcW w:w="3553"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c>
          <w:tcPr>
            <w:tcW w:w="759" w:type="dxa"/>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进货检验</w:t>
            </w:r>
          </w:p>
        </w:tc>
        <w:tc>
          <w:tcPr>
            <w:tcW w:w="760" w:type="dxa"/>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过程检验</w:t>
            </w:r>
          </w:p>
        </w:tc>
        <w:tc>
          <w:tcPr>
            <w:tcW w:w="760" w:type="dxa"/>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Cs w:val="21"/>
              </w:rPr>
            </w:pPr>
            <w:r>
              <w:rPr>
                <w:rFonts w:hint="eastAsia" w:ascii="宋体" w:hAnsi="Courier New"/>
                <w:b/>
                <w:color w:val="000000"/>
                <w:szCs w:val="21"/>
              </w:rPr>
              <w:t>出厂检验</w:t>
            </w:r>
          </w:p>
        </w:tc>
        <w:tc>
          <w:tcPr>
            <w:tcW w:w="720" w:type="dxa"/>
            <w:vMerge w:val="continue"/>
            <w:vAlign w:val="center"/>
          </w:tcPr>
          <w:p>
            <w:pPr>
              <w:keepNext w:val="0"/>
              <w:keepLines w:val="0"/>
              <w:pageBreakBefore w:val="0"/>
              <w:widowControl w:val="0"/>
              <w:kinsoku/>
              <w:wordWrap/>
              <w:overflowPunct/>
              <w:topLinePunct w:val="0"/>
              <w:autoSpaceDE/>
              <w:autoSpaceDN/>
              <w:bidi w:val="0"/>
              <w:adjustRightInd w:val="0"/>
              <w:snapToGrid/>
              <w:spacing w:before="188" w:beforeLines="60" w:after="188" w:afterLines="60"/>
              <w:jc w:val="center"/>
              <w:textAlignment w:val="baseline"/>
              <w:outlineLvl w:val="9"/>
              <w:rPr>
                <w:rFonts w:ascii="宋体" w:hAnsi="Courier New"/>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1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0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84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1985"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3553"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59"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6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c>
          <w:tcPr>
            <w:tcW w:w="720" w:type="dxa"/>
          </w:tcPr>
          <w:p>
            <w:pPr>
              <w:keepNext w:val="0"/>
              <w:keepLines w:val="0"/>
              <w:pageBreakBefore w:val="0"/>
              <w:widowControl w:val="0"/>
              <w:kinsoku/>
              <w:wordWrap/>
              <w:overflowPunct/>
              <w:topLinePunct w:val="0"/>
              <w:autoSpaceDE/>
              <w:autoSpaceDN/>
              <w:bidi w:val="0"/>
              <w:adjustRightInd w:val="0"/>
              <w:snapToGrid/>
              <w:spacing w:before="188" w:beforeLines="60" w:after="188" w:afterLines="60"/>
              <w:textAlignment w:val="baseline"/>
              <w:outlineLvl w:val="9"/>
              <w:rPr>
                <w:rFonts w:ascii="宋体" w:hAnsi="Courier New"/>
                <w:color w:val="000000"/>
              </w:rPr>
            </w:pPr>
          </w:p>
        </w:tc>
      </w:tr>
    </w:tbl>
    <w:p>
      <w:pPr>
        <w:rPr>
          <w:i/>
          <w:color w:val="000000"/>
        </w:rPr>
      </w:pPr>
    </w:p>
    <w:p>
      <w:pPr>
        <w:spacing w:line="360" w:lineRule="auto"/>
      </w:pPr>
      <w:r>
        <w:rPr>
          <w:rFonts w:hint="eastAsia"/>
        </w:rPr>
        <w:t>注：多场所的均应填写，并在备注中标明生产场所。</w:t>
      </w:r>
    </w:p>
    <w:p>
      <w:pPr>
        <w:spacing w:line="480" w:lineRule="exact"/>
      </w:pPr>
    </w:p>
    <w:p>
      <w:pPr>
        <w:pStyle w:val="4"/>
        <w:spacing w:line="360" w:lineRule="auto"/>
        <w:ind w:left="2921" w:hanging="2921" w:hangingChars="970"/>
        <w:rPr>
          <w:color w:val="000000"/>
        </w:rPr>
        <w:sectPr>
          <w:pgSz w:w="16838" w:h="11906" w:orient="landscape"/>
          <w:pgMar w:top="1418" w:right="1418" w:bottom="1418" w:left="1418" w:header="851" w:footer="992" w:gutter="0"/>
          <w:cols w:space="720" w:num="1"/>
          <w:docGrid w:linePitch="312" w:charSpace="0"/>
        </w:sectPr>
      </w:pPr>
    </w:p>
    <w:p>
      <w:pPr>
        <w:pStyle w:val="2"/>
        <w:adjustRightInd w:val="0"/>
        <w:snapToGrid w:val="0"/>
        <w:spacing w:before="0" w:after="0" w:line="360" w:lineRule="auto"/>
        <w:jc w:val="both"/>
        <w:rPr>
          <w:rFonts w:ascii="宋体" w:hAnsi="宋体"/>
          <w:sz w:val="28"/>
          <w:szCs w:val="28"/>
        </w:rPr>
      </w:pPr>
      <w:bookmarkStart w:id="16" w:name="_Toc524357737"/>
      <w:r>
        <w:rPr>
          <w:rFonts w:hint="eastAsia" w:ascii="宋体" w:hAnsi="宋体"/>
          <w:bCs w:val="0"/>
          <w:sz w:val="28"/>
          <w:szCs w:val="28"/>
        </w:rPr>
        <w:t xml:space="preserve">附件2-6 </w:t>
      </w:r>
      <w:bookmarkEnd w:id="16"/>
    </w:p>
    <w:p>
      <w:pPr>
        <w:pStyle w:val="2"/>
        <w:keepNext/>
        <w:keepLines/>
        <w:pageBreakBefore w:val="0"/>
        <w:widowControl w:val="0"/>
        <w:kinsoku/>
        <w:wordWrap/>
        <w:overflowPunct/>
        <w:topLinePunct w:val="0"/>
        <w:autoSpaceDE/>
        <w:autoSpaceDN/>
        <w:bidi w:val="0"/>
        <w:adjustRightInd w:val="0"/>
        <w:snapToGrid w:val="0"/>
        <w:spacing w:before="0" w:after="0" w:line="240" w:lineRule="exact"/>
        <w:jc w:val="center"/>
        <w:textAlignment w:val="auto"/>
        <w:outlineLvl w:val="0"/>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sz w:val="28"/>
          <w:szCs w:val="28"/>
        </w:rPr>
      </w:pPr>
      <w:r>
        <w:rPr>
          <w:rFonts w:hint="eastAsia" w:ascii="宋体" w:hAnsi="宋体"/>
          <w:b/>
          <w:sz w:val="28"/>
          <w:szCs w:val="28"/>
        </w:rPr>
        <w:t>企业生产预应力混凝土铁路桥简支梁产品重要原材料明细表</w:t>
      </w:r>
    </w:p>
    <w:p>
      <w:pPr>
        <w:rPr>
          <w:bCs/>
        </w:rPr>
      </w:pPr>
    </w:p>
    <w:p>
      <w:pPr>
        <w:keepNext w:val="0"/>
        <w:keepLines w:val="0"/>
        <w:pageBreakBefore w:val="0"/>
        <w:widowControl w:val="0"/>
        <w:kinsoku/>
        <w:wordWrap/>
        <w:overflowPunct/>
        <w:topLinePunct w:val="0"/>
        <w:autoSpaceDE/>
        <w:autoSpaceDN/>
        <w:bidi w:val="0"/>
        <w:adjustRightInd/>
        <w:snapToGrid/>
        <w:spacing w:line="480" w:lineRule="auto"/>
        <w:ind w:left="-6" w:leftChars="-8" w:hanging="11"/>
        <w:textAlignment w:val="auto"/>
        <w:outlineLvl w:val="9"/>
        <w:rPr>
          <w:rFonts w:ascii="宋体" w:hAnsi="宋体"/>
          <w:szCs w:val="21"/>
        </w:rPr>
      </w:pPr>
      <w:r>
        <w:rPr>
          <w:rFonts w:hint="eastAsia" w:ascii="宋体" w:hAnsi="宋体"/>
          <w:szCs w:val="21"/>
        </w:rPr>
        <w:t>生产企业名称：</w:t>
      </w:r>
    </w:p>
    <w:p>
      <w:pPr>
        <w:keepNext w:val="0"/>
        <w:keepLines w:val="0"/>
        <w:pageBreakBefore w:val="0"/>
        <w:widowControl w:val="0"/>
        <w:kinsoku/>
        <w:wordWrap/>
        <w:overflowPunct/>
        <w:topLinePunct w:val="0"/>
        <w:autoSpaceDE/>
        <w:autoSpaceDN/>
        <w:bidi w:val="0"/>
        <w:adjustRightInd/>
        <w:snapToGrid/>
        <w:spacing w:line="480" w:lineRule="auto"/>
        <w:ind w:left="-6" w:leftChars="-8" w:hanging="11"/>
        <w:textAlignment w:val="auto"/>
        <w:outlineLvl w:val="9"/>
        <w:rPr>
          <w:rFonts w:ascii="宋体" w:hAnsi="宋体"/>
          <w:szCs w:val="21"/>
        </w:rPr>
      </w:pPr>
      <w:r>
        <w:rPr>
          <w:rFonts w:hint="eastAsia" w:ascii="宋体" w:hAnsi="宋体"/>
          <w:szCs w:val="21"/>
        </w:rPr>
        <w:t>生产地址：</w:t>
      </w:r>
    </w:p>
    <w:p>
      <w:pPr>
        <w:keepNext w:val="0"/>
        <w:keepLines w:val="0"/>
        <w:pageBreakBefore w:val="0"/>
        <w:widowControl w:val="0"/>
        <w:kinsoku/>
        <w:wordWrap/>
        <w:overflowPunct/>
        <w:topLinePunct w:val="0"/>
        <w:autoSpaceDE/>
        <w:autoSpaceDN/>
        <w:bidi w:val="0"/>
        <w:adjustRightInd/>
        <w:snapToGrid/>
        <w:spacing w:line="480" w:lineRule="auto"/>
        <w:ind w:left="-6" w:leftChars="-8" w:hanging="11"/>
        <w:textAlignment w:val="auto"/>
        <w:outlineLvl w:val="9"/>
        <w:rPr>
          <w:rFonts w:ascii="宋体" w:hAnsi="宋体" w:cs="仿宋_GB2312"/>
          <w:szCs w:val="21"/>
        </w:rPr>
      </w:pPr>
      <w:r>
        <w:rPr>
          <w:rFonts w:hint="eastAsia" w:ascii="宋体" w:hAnsi="宋体"/>
          <w:szCs w:val="21"/>
        </w:rPr>
        <w:t>该单元中代表性的桥梁产品照片（全景、产品标志各一张，背景清晰彩色5</w:t>
      </w:r>
      <w:r>
        <w:rPr>
          <w:rFonts w:hint="eastAsia" w:ascii="宋体" w:hAnsi="宋体" w:cs="宋体"/>
          <w:szCs w:val="21"/>
        </w:rPr>
        <w:t>吋</w:t>
      </w:r>
      <w:r>
        <w:rPr>
          <w:rFonts w:hint="eastAsia" w:ascii="宋体" w:hAnsi="宋体" w:cs="仿宋_GB2312"/>
          <w:szCs w:val="21"/>
        </w:rPr>
        <w:t>）：</w:t>
      </w: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spacing w:line="340" w:lineRule="exact"/>
        <w:ind w:left="-8" w:leftChars="-8" w:hanging="9"/>
        <w:rPr>
          <w:rFonts w:ascii="宋体" w:hAnsi="宋体" w:cs="仿宋_GB2312"/>
          <w:szCs w:val="21"/>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ascii="宋体" w:hAnsi="宋体"/>
          <w:b/>
          <w:szCs w:val="21"/>
        </w:rPr>
      </w:pPr>
      <w:r>
        <w:rPr>
          <w:rFonts w:hint="eastAsia" w:ascii="宋体" w:hAnsi="宋体"/>
          <w:b/>
          <w:szCs w:val="21"/>
        </w:rPr>
        <w:t>重要原材料</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2050"/>
        <w:gridCol w:w="2951"/>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snapToGrid/>
              <w:spacing w:before="95" w:beforeLines="30" w:after="95" w:afterLines="30"/>
              <w:ind w:left="113"/>
              <w:jc w:val="center"/>
              <w:outlineLvl w:val="9"/>
              <w:rPr>
                <w:rFonts w:ascii="宋体" w:hAnsi="宋体"/>
                <w:b/>
                <w:szCs w:val="21"/>
              </w:rPr>
            </w:pPr>
            <w:r>
              <w:rPr>
                <w:rFonts w:hint="eastAsia" w:ascii="宋体" w:hAnsi="宋体"/>
                <w:b/>
                <w:szCs w:val="21"/>
              </w:rPr>
              <w:t>名    称</w:t>
            </w:r>
          </w:p>
        </w:tc>
        <w:tc>
          <w:tcPr>
            <w:tcW w:w="2050" w:type="dxa"/>
            <w:vAlign w:val="center"/>
          </w:tcPr>
          <w:p>
            <w:pPr>
              <w:keepNext w:val="0"/>
              <w:keepLines w:val="0"/>
              <w:pageBreakBefore w:val="0"/>
              <w:widowControl w:val="0"/>
              <w:kinsoku/>
              <w:wordWrap/>
              <w:overflowPunct/>
              <w:topLinePunct w:val="0"/>
              <w:autoSpaceDE/>
              <w:autoSpaceDN/>
              <w:bidi w:val="0"/>
              <w:snapToGrid/>
              <w:spacing w:before="95" w:beforeLines="30" w:after="95" w:afterLines="30"/>
              <w:jc w:val="center"/>
              <w:outlineLvl w:val="9"/>
              <w:rPr>
                <w:rFonts w:ascii="宋体" w:hAnsi="宋体"/>
                <w:b/>
                <w:szCs w:val="21"/>
              </w:rPr>
            </w:pPr>
            <w:r>
              <w:rPr>
                <w:rFonts w:hint="eastAsia" w:ascii="宋体" w:hAnsi="宋体"/>
                <w:b/>
                <w:szCs w:val="21"/>
              </w:rPr>
              <w:t>规格型号</w:t>
            </w:r>
          </w:p>
        </w:tc>
        <w:tc>
          <w:tcPr>
            <w:tcW w:w="2951" w:type="dxa"/>
            <w:vAlign w:val="center"/>
          </w:tcPr>
          <w:p>
            <w:pPr>
              <w:keepNext w:val="0"/>
              <w:keepLines w:val="0"/>
              <w:pageBreakBefore w:val="0"/>
              <w:widowControl w:val="0"/>
              <w:kinsoku/>
              <w:wordWrap/>
              <w:overflowPunct/>
              <w:topLinePunct w:val="0"/>
              <w:autoSpaceDE/>
              <w:autoSpaceDN/>
              <w:bidi w:val="0"/>
              <w:snapToGrid/>
              <w:spacing w:before="95" w:beforeLines="30" w:after="95" w:afterLines="30"/>
              <w:ind w:left="113"/>
              <w:jc w:val="center"/>
              <w:outlineLvl w:val="9"/>
              <w:rPr>
                <w:rFonts w:ascii="宋体" w:hAnsi="宋体"/>
                <w:b/>
                <w:szCs w:val="21"/>
              </w:rPr>
            </w:pPr>
            <w:r>
              <w:rPr>
                <w:rFonts w:hint="eastAsia" w:ascii="宋体" w:hAnsi="宋体"/>
                <w:b/>
                <w:szCs w:val="21"/>
              </w:rPr>
              <w:t>执行标准</w:t>
            </w:r>
          </w:p>
        </w:tc>
        <w:tc>
          <w:tcPr>
            <w:tcW w:w="1863" w:type="dxa"/>
            <w:vAlign w:val="center"/>
          </w:tcPr>
          <w:p>
            <w:pPr>
              <w:keepNext w:val="0"/>
              <w:keepLines w:val="0"/>
              <w:pageBreakBefore w:val="0"/>
              <w:widowControl w:val="0"/>
              <w:kinsoku/>
              <w:wordWrap/>
              <w:overflowPunct/>
              <w:topLinePunct w:val="0"/>
              <w:autoSpaceDE/>
              <w:autoSpaceDN/>
              <w:bidi w:val="0"/>
              <w:snapToGrid/>
              <w:spacing w:before="95" w:beforeLines="30" w:after="95" w:afterLines="30"/>
              <w:jc w:val="center"/>
              <w:outlineLvl w:val="9"/>
              <w:rPr>
                <w:rFonts w:ascii="宋体" w:hAnsi="宋体"/>
                <w:b/>
                <w:szCs w:val="21"/>
              </w:rPr>
            </w:pPr>
            <w:r>
              <w:rPr>
                <w:rFonts w:hint="eastAsia" w:ascii="宋体" w:hAnsi="宋体"/>
                <w:b/>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水泥</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河砂</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碎石</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掺合料（粉煤灰、矿粉）</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减水剂</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钢筋</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钢绞线</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锚具</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压浆剂/压浆料</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firstLine="105" w:firstLineChars="50"/>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ascii="宋体" w:hAnsi="宋体"/>
              </w:rPr>
              <w:t>金属</w:t>
            </w:r>
            <w:r>
              <w:rPr>
                <w:rFonts w:hint="eastAsia" w:ascii="宋体" w:hAnsi="宋体"/>
              </w:rPr>
              <w:t>预埋件</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firstLine="105" w:firstLineChars="50"/>
              <w:outlineLvl w:val="9"/>
              <w:rPr>
                <w:rFonts w:ascii="宋体" w:hAnsi="宋体"/>
                <w:szCs w:val="21"/>
              </w:rPr>
            </w:pPr>
            <w:r>
              <w:rPr>
                <w:rFonts w:hint="eastAsia" w:ascii="宋体" w:hAnsi="宋体"/>
                <w:szCs w:val="21"/>
              </w:rPr>
              <w:t>□自制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2" w:type="dxa"/>
            <w:vAlign w:val="center"/>
          </w:tcPr>
          <w:p>
            <w:pPr>
              <w:keepNext w:val="0"/>
              <w:keepLines w:val="0"/>
              <w:pageBreakBefore w:val="0"/>
              <w:widowControl w:val="0"/>
              <w:kinsoku/>
              <w:wordWrap/>
              <w:overflowPunct/>
              <w:topLinePunct w:val="0"/>
              <w:autoSpaceDE/>
              <w:autoSpaceDN/>
              <w:bidi w:val="0"/>
              <w:adjustRightInd w:val="0"/>
              <w:snapToGrid/>
              <w:spacing w:before="95" w:beforeLines="30" w:after="95" w:afterLines="30"/>
              <w:jc w:val="center"/>
              <w:textAlignment w:val="baseline"/>
              <w:outlineLvl w:val="9"/>
              <w:rPr>
                <w:rFonts w:ascii="宋体" w:hAnsi="宋体"/>
              </w:rPr>
            </w:pPr>
            <w:r>
              <w:rPr>
                <w:rFonts w:hint="eastAsia" w:ascii="宋体" w:hAnsi="宋体"/>
              </w:rPr>
              <w:t>防水材料</w:t>
            </w:r>
          </w:p>
        </w:tc>
        <w:tc>
          <w:tcPr>
            <w:tcW w:w="2050"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2951" w:type="dxa"/>
          </w:tcPr>
          <w:p>
            <w:pPr>
              <w:keepNext w:val="0"/>
              <w:keepLines w:val="0"/>
              <w:pageBreakBefore w:val="0"/>
              <w:widowControl w:val="0"/>
              <w:kinsoku/>
              <w:wordWrap/>
              <w:overflowPunct/>
              <w:topLinePunct w:val="0"/>
              <w:autoSpaceDE/>
              <w:autoSpaceDN/>
              <w:bidi w:val="0"/>
              <w:snapToGrid/>
              <w:spacing w:before="95" w:beforeLines="30" w:after="95" w:afterLines="30"/>
              <w:ind w:left="113"/>
              <w:outlineLvl w:val="9"/>
              <w:rPr>
                <w:rFonts w:ascii="宋体" w:hAnsi="宋体"/>
                <w:szCs w:val="21"/>
              </w:rPr>
            </w:pPr>
          </w:p>
        </w:tc>
        <w:tc>
          <w:tcPr>
            <w:tcW w:w="1863" w:type="dxa"/>
          </w:tcPr>
          <w:p>
            <w:pPr>
              <w:keepNext w:val="0"/>
              <w:keepLines w:val="0"/>
              <w:pageBreakBefore w:val="0"/>
              <w:widowControl w:val="0"/>
              <w:kinsoku/>
              <w:wordWrap/>
              <w:overflowPunct/>
              <w:topLinePunct w:val="0"/>
              <w:autoSpaceDE/>
              <w:autoSpaceDN/>
              <w:bidi w:val="0"/>
              <w:snapToGrid/>
              <w:spacing w:before="95" w:beforeLines="30" w:after="95" w:afterLines="30"/>
              <w:ind w:firstLine="105" w:firstLineChars="50"/>
              <w:outlineLvl w:val="9"/>
              <w:rPr>
                <w:rFonts w:ascii="宋体" w:hAnsi="宋体"/>
                <w:szCs w:val="21"/>
              </w:rPr>
            </w:pPr>
            <w:r>
              <w:rPr>
                <w:rFonts w:hint="eastAsia" w:ascii="宋体" w:hAnsi="宋体"/>
                <w:szCs w:val="21"/>
              </w:rPr>
              <w:t>□自制  □采购</w:t>
            </w:r>
          </w:p>
        </w:tc>
      </w:tr>
    </w:tbl>
    <w:p>
      <w:pPr>
        <w:ind w:left="5880" w:hanging="5880" w:hangingChars="2800"/>
        <w:rPr>
          <w:rFonts w:ascii="宋体" w:hAnsi="宋体"/>
          <w:szCs w:val="21"/>
        </w:rPr>
      </w:pPr>
    </w:p>
    <w:p>
      <w:pPr>
        <w:spacing w:line="360" w:lineRule="auto"/>
        <w:rPr>
          <w:sz w:val="21"/>
          <w:szCs w:val="21"/>
        </w:rPr>
      </w:pPr>
      <w:r>
        <w:rPr>
          <w:rFonts w:hint="eastAsia" w:ascii="宋体" w:hAnsi="宋体"/>
          <w:sz w:val="21"/>
          <w:szCs w:val="21"/>
        </w:rPr>
        <w:t>注：</w:t>
      </w:r>
      <w:r>
        <w:rPr>
          <w:rFonts w:hint="eastAsia"/>
          <w:sz w:val="21"/>
          <w:szCs w:val="21"/>
        </w:rPr>
        <w:t>按单元填写本表，如两个单元产品填写的内容完全相同，可合填写1张。</w:t>
      </w:r>
      <w:r>
        <w:rPr>
          <w:sz w:val="21"/>
          <w:szCs w:val="21"/>
        </w:rPr>
        <w:t xml:space="preserve"> </w:t>
      </w:r>
    </w:p>
    <w:p>
      <w:pPr>
        <w:rPr>
          <w:rFonts w:ascii="宋体" w:hAnsi="宋体"/>
        </w:rPr>
      </w:pPr>
    </w:p>
    <w:p>
      <w:pPr>
        <w:pStyle w:val="4"/>
        <w:spacing w:line="360" w:lineRule="auto"/>
        <w:ind w:left="2921" w:hanging="2921" w:hangingChars="970"/>
        <w:rPr>
          <w:color w:val="000000"/>
        </w:rPr>
        <w:sectPr>
          <w:pgSz w:w="11906" w:h="16838"/>
          <w:pgMar w:top="1418" w:right="1418" w:bottom="1418" w:left="1418" w:header="851" w:footer="992" w:gutter="0"/>
          <w:cols w:space="720" w:num="1"/>
          <w:docGrid w:linePitch="312" w:charSpace="0"/>
        </w:sectPr>
      </w:pPr>
    </w:p>
    <w:p>
      <w:pPr>
        <w:pStyle w:val="4"/>
      </w:pPr>
      <w:bookmarkStart w:id="17" w:name="_Toc524357738"/>
      <w:r>
        <w:rPr>
          <w:rFonts w:hint="eastAsia" w:asciiTheme="minorEastAsia" w:hAnsiTheme="minorEastAsia" w:eastAsiaTheme="minorEastAsia"/>
        </w:rPr>
        <w:t>附件2-7</w:t>
      </w:r>
      <w:r>
        <w:rPr>
          <w:rFonts w:hint="eastAsia"/>
        </w:rPr>
        <w:t xml:space="preserve"> </w:t>
      </w:r>
      <w:bookmarkEnd w:id="17"/>
    </w:p>
    <w:p>
      <w:pPr>
        <w:pStyle w:val="4"/>
        <w:keepNext/>
        <w:keepLines/>
        <w:pageBreakBefore w:val="0"/>
        <w:widowControl w:val="0"/>
        <w:kinsoku/>
        <w:wordWrap/>
        <w:overflowPunct/>
        <w:topLinePunct w:val="0"/>
        <w:autoSpaceDE/>
        <w:autoSpaceDN/>
        <w:bidi w:val="0"/>
        <w:adjustRightInd/>
        <w:snapToGrid/>
        <w:spacing w:line="200" w:lineRule="exact"/>
        <w:textAlignment w:val="auto"/>
        <w:outlineLvl w:val="2"/>
      </w:pPr>
    </w:p>
    <w:p>
      <w:pPr>
        <w:jc w:val="center"/>
        <w:rPr>
          <w:rFonts w:ascii="宋体" w:hAnsi="宋体"/>
          <w:b/>
          <w:color w:val="000000"/>
          <w:sz w:val="28"/>
          <w:szCs w:val="28"/>
        </w:rPr>
      </w:pPr>
      <w:r>
        <w:rPr>
          <w:rFonts w:hint="eastAsia" w:ascii="宋体" w:hAnsi="宋体"/>
          <w:b/>
          <w:color w:val="000000"/>
          <w:sz w:val="28"/>
          <w:szCs w:val="28"/>
        </w:rPr>
        <w:t>关键岗位专业技术人员表</w:t>
      </w:r>
    </w:p>
    <w:p>
      <w:pPr>
        <w:jc w:val="center"/>
        <w:rPr>
          <w:rFonts w:ascii="宋体" w:hAnsi="宋体"/>
          <w:b/>
          <w:color w:val="FF00FF"/>
          <w:sz w:val="28"/>
          <w:szCs w:val="28"/>
        </w:rPr>
      </w:pPr>
    </w:p>
    <w:tbl>
      <w:tblPr>
        <w:tblStyle w:val="19"/>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996"/>
        <w:gridCol w:w="932"/>
        <w:gridCol w:w="1417"/>
        <w:gridCol w:w="1701"/>
        <w:gridCol w:w="1418"/>
        <w:gridCol w:w="1701"/>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序号</w:t>
            </w:r>
          </w:p>
        </w:tc>
        <w:tc>
          <w:tcPr>
            <w:tcW w:w="996"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姓  名</w:t>
            </w:r>
          </w:p>
        </w:tc>
        <w:tc>
          <w:tcPr>
            <w:tcW w:w="93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性别</w:t>
            </w:r>
          </w:p>
        </w:tc>
        <w:tc>
          <w:tcPr>
            <w:tcW w:w="1417"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岗位</w:t>
            </w:r>
          </w:p>
        </w:tc>
        <w:tc>
          <w:tcPr>
            <w:tcW w:w="1701"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职务/职称</w:t>
            </w:r>
          </w:p>
        </w:tc>
        <w:tc>
          <w:tcPr>
            <w:tcW w:w="1418"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学历</w:t>
            </w:r>
          </w:p>
        </w:tc>
        <w:tc>
          <w:tcPr>
            <w:tcW w:w="1701"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所学专业</w:t>
            </w:r>
          </w:p>
        </w:tc>
        <w:tc>
          <w:tcPr>
            <w:tcW w:w="340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身份证号</w:t>
            </w:r>
          </w:p>
        </w:tc>
        <w:tc>
          <w:tcPr>
            <w:tcW w:w="1843"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2" w:type="dxa"/>
            <w:vMerge w:val="continue"/>
            <w:vAlign w:val="center"/>
          </w:tcPr>
          <w:p>
            <w:pPr>
              <w:adjustRightInd w:val="0"/>
              <w:jc w:val="center"/>
              <w:textAlignment w:val="baseline"/>
              <w:rPr>
                <w:rFonts w:ascii="宋体" w:hAnsi="Courier New"/>
                <w:b/>
                <w:color w:val="000000"/>
              </w:rPr>
            </w:pPr>
          </w:p>
        </w:tc>
        <w:tc>
          <w:tcPr>
            <w:tcW w:w="996" w:type="dxa"/>
            <w:vMerge w:val="continue"/>
            <w:vAlign w:val="center"/>
          </w:tcPr>
          <w:p>
            <w:pPr>
              <w:adjustRightInd w:val="0"/>
              <w:jc w:val="center"/>
              <w:textAlignment w:val="baseline"/>
              <w:rPr>
                <w:rFonts w:ascii="宋体" w:hAnsi="Courier New"/>
                <w:b/>
                <w:color w:val="000000"/>
              </w:rPr>
            </w:pPr>
          </w:p>
        </w:tc>
        <w:tc>
          <w:tcPr>
            <w:tcW w:w="932" w:type="dxa"/>
            <w:vMerge w:val="continue"/>
            <w:vAlign w:val="center"/>
          </w:tcPr>
          <w:p>
            <w:pPr>
              <w:adjustRightInd w:val="0"/>
              <w:jc w:val="center"/>
              <w:textAlignment w:val="baseline"/>
              <w:rPr>
                <w:rFonts w:ascii="宋体" w:hAnsi="Courier New"/>
                <w:b/>
                <w:color w:val="000000"/>
              </w:rPr>
            </w:pPr>
          </w:p>
        </w:tc>
        <w:tc>
          <w:tcPr>
            <w:tcW w:w="1417" w:type="dxa"/>
            <w:vMerge w:val="continue"/>
            <w:vAlign w:val="center"/>
          </w:tcPr>
          <w:p>
            <w:pPr>
              <w:adjustRightInd w:val="0"/>
              <w:jc w:val="center"/>
              <w:textAlignment w:val="baseline"/>
              <w:rPr>
                <w:rFonts w:ascii="宋体" w:hAnsi="Courier New"/>
                <w:b/>
                <w:color w:val="000000"/>
              </w:rPr>
            </w:pPr>
          </w:p>
        </w:tc>
        <w:tc>
          <w:tcPr>
            <w:tcW w:w="1701" w:type="dxa"/>
            <w:vMerge w:val="continue"/>
            <w:vAlign w:val="center"/>
          </w:tcPr>
          <w:p>
            <w:pPr>
              <w:adjustRightInd w:val="0"/>
              <w:jc w:val="center"/>
              <w:textAlignment w:val="baseline"/>
              <w:rPr>
                <w:rFonts w:ascii="宋体" w:hAnsi="Courier New"/>
                <w:b/>
                <w:color w:val="000000"/>
              </w:rPr>
            </w:pPr>
          </w:p>
        </w:tc>
        <w:tc>
          <w:tcPr>
            <w:tcW w:w="1418" w:type="dxa"/>
            <w:vMerge w:val="continue"/>
            <w:vAlign w:val="center"/>
          </w:tcPr>
          <w:p>
            <w:pPr>
              <w:adjustRightInd w:val="0"/>
              <w:jc w:val="center"/>
              <w:textAlignment w:val="baseline"/>
              <w:rPr>
                <w:rFonts w:ascii="宋体" w:hAnsi="Courier New"/>
                <w:b/>
                <w:color w:val="000000"/>
              </w:rPr>
            </w:pPr>
          </w:p>
        </w:tc>
        <w:tc>
          <w:tcPr>
            <w:tcW w:w="1701" w:type="dxa"/>
            <w:vMerge w:val="continue"/>
            <w:vAlign w:val="center"/>
          </w:tcPr>
          <w:p>
            <w:pPr>
              <w:adjustRightInd w:val="0"/>
              <w:jc w:val="center"/>
              <w:textAlignment w:val="baseline"/>
              <w:rPr>
                <w:rFonts w:ascii="宋体" w:hAnsi="Courier New"/>
                <w:b/>
                <w:color w:val="000000"/>
              </w:rPr>
            </w:pPr>
          </w:p>
        </w:tc>
        <w:tc>
          <w:tcPr>
            <w:tcW w:w="3402" w:type="dxa"/>
            <w:vMerge w:val="continue"/>
            <w:vAlign w:val="center"/>
          </w:tcPr>
          <w:p>
            <w:pPr>
              <w:adjustRightInd w:val="0"/>
              <w:jc w:val="center"/>
              <w:textAlignment w:val="baseline"/>
              <w:rPr>
                <w:rFonts w:ascii="宋体" w:hAnsi="Courier New"/>
                <w:b/>
                <w:color w:val="000000"/>
              </w:rPr>
            </w:pPr>
          </w:p>
        </w:tc>
        <w:tc>
          <w:tcPr>
            <w:tcW w:w="1843" w:type="dxa"/>
            <w:vMerge w:val="continue"/>
            <w:vAlign w:val="center"/>
          </w:tcPr>
          <w:p>
            <w:pPr>
              <w:adjustRightInd w:val="0"/>
              <w:jc w:val="center"/>
              <w:textAlignment w:val="baseline"/>
              <w:rPr>
                <w:rFonts w:ascii="宋体" w:hAnsi="Courier New"/>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2" w:type="dxa"/>
          </w:tcPr>
          <w:p>
            <w:pPr>
              <w:adjustRightInd w:val="0"/>
              <w:textAlignment w:val="baseline"/>
              <w:rPr>
                <w:rFonts w:ascii="宋体" w:hAnsi="Courier New"/>
                <w:color w:val="000000"/>
              </w:rPr>
            </w:pPr>
          </w:p>
        </w:tc>
        <w:tc>
          <w:tcPr>
            <w:tcW w:w="996" w:type="dxa"/>
          </w:tcPr>
          <w:p>
            <w:pPr>
              <w:adjustRightInd w:val="0"/>
              <w:textAlignment w:val="baseline"/>
              <w:rPr>
                <w:rFonts w:ascii="宋体" w:hAnsi="Courier New"/>
                <w:color w:val="000000"/>
              </w:rPr>
            </w:pPr>
          </w:p>
        </w:tc>
        <w:tc>
          <w:tcPr>
            <w:tcW w:w="932" w:type="dxa"/>
          </w:tcPr>
          <w:p>
            <w:pPr>
              <w:adjustRightInd w:val="0"/>
              <w:textAlignment w:val="baseline"/>
              <w:rPr>
                <w:rFonts w:ascii="宋体" w:hAnsi="Courier New"/>
                <w:color w:val="000000"/>
              </w:rPr>
            </w:pPr>
          </w:p>
        </w:tc>
        <w:tc>
          <w:tcPr>
            <w:tcW w:w="1417"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1418" w:type="dxa"/>
          </w:tcPr>
          <w:p>
            <w:pPr>
              <w:adjustRightInd w:val="0"/>
              <w:textAlignment w:val="baseline"/>
              <w:rPr>
                <w:rFonts w:ascii="宋体" w:hAnsi="Courier New"/>
                <w:color w:val="000000"/>
              </w:rPr>
            </w:pPr>
          </w:p>
        </w:tc>
        <w:tc>
          <w:tcPr>
            <w:tcW w:w="1701" w:type="dxa"/>
          </w:tcPr>
          <w:p>
            <w:pPr>
              <w:adjustRightInd w:val="0"/>
              <w:textAlignment w:val="baseline"/>
              <w:rPr>
                <w:rFonts w:ascii="宋体" w:hAnsi="Courier New"/>
                <w:color w:val="000000"/>
              </w:rPr>
            </w:pPr>
          </w:p>
        </w:tc>
        <w:tc>
          <w:tcPr>
            <w:tcW w:w="3402" w:type="dxa"/>
          </w:tcPr>
          <w:p>
            <w:pPr>
              <w:adjustRightInd w:val="0"/>
              <w:textAlignment w:val="baseline"/>
              <w:rPr>
                <w:rFonts w:ascii="宋体" w:hAnsi="Courier New"/>
                <w:color w:val="000000"/>
              </w:rPr>
            </w:pPr>
          </w:p>
        </w:tc>
        <w:tc>
          <w:tcPr>
            <w:tcW w:w="1843" w:type="dxa"/>
          </w:tcPr>
          <w:p>
            <w:pPr>
              <w:adjustRightInd w:val="0"/>
              <w:textAlignment w:val="baseline"/>
              <w:rPr>
                <w:rFonts w:ascii="宋体" w:hAnsi="Courier New"/>
                <w:color w:val="000000"/>
              </w:rPr>
            </w:pPr>
          </w:p>
        </w:tc>
      </w:tr>
    </w:tbl>
    <w:p>
      <w:pPr>
        <w:spacing w:line="480" w:lineRule="exact"/>
        <w:rPr>
          <w:rFonts w:ascii="宋体" w:hAnsi="宋体"/>
          <w:szCs w:val="21"/>
        </w:rPr>
      </w:pPr>
      <w:r>
        <w:rPr>
          <w:rFonts w:hint="eastAsia" w:ascii="宋体" w:hAnsi="宋体"/>
          <w:szCs w:val="21"/>
        </w:rPr>
        <w:t>填表说明：最高管理者、质量负责人、技术人员、检验人员、关键工序（质量控制点、特殊过程）操作工等，均应列入此表。</w:t>
      </w:r>
    </w:p>
    <w:p>
      <w:pPr>
        <w:spacing w:line="480" w:lineRule="exact"/>
        <w:rPr>
          <w:rFonts w:ascii="宋体" w:hAnsi="宋体"/>
          <w:szCs w:val="21"/>
        </w:rPr>
        <w:sectPr>
          <w:pgSz w:w="16838" w:h="11906" w:orient="landscape"/>
          <w:pgMar w:top="1418" w:right="1418" w:bottom="1418" w:left="1418" w:header="851" w:footer="992" w:gutter="0"/>
          <w:cols w:space="720" w:num="1"/>
          <w:docGrid w:linePitch="312" w:charSpace="0"/>
        </w:sectPr>
      </w:pPr>
    </w:p>
    <w:p>
      <w:pPr>
        <w:pStyle w:val="4"/>
      </w:pPr>
      <w:bookmarkStart w:id="18" w:name="_Toc524357739"/>
      <w:r>
        <w:rPr>
          <w:rFonts w:hint="eastAsia" w:asciiTheme="minorEastAsia" w:hAnsiTheme="minorEastAsia" w:eastAsiaTheme="minorEastAsia"/>
        </w:rPr>
        <w:t>附件2-8</w:t>
      </w:r>
      <w:r>
        <w:rPr>
          <w:rFonts w:hint="eastAsia"/>
        </w:rPr>
        <w:t xml:space="preserve"> </w:t>
      </w:r>
      <w:bookmarkEnd w:id="18"/>
    </w:p>
    <w:p>
      <w:pPr>
        <w:pStyle w:val="4"/>
      </w:pPr>
    </w:p>
    <w:p>
      <w:pPr>
        <w:jc w:val="center"/>
        <w:rPr>
          <w:rFonts w:ascii="宋体" w:hAnsi="宋体"/>
          <w:b/>
          <w:color w:val="000000"/>
          <w:sz w:val="28"/>
          <w:szCs w:val="28"/>
        </w:rPr>
      </w:pPr>
      <w:r>
        <w:rPr>
          <w:rFonts w:hint="eastAsia" w:ascii="宋体" w:hAnsi="宋体"/>
          <w:b/>
          <w:color w:val="000000"/>
          <w:sz w:val="28"/>
          <w:szCs w:val="28"/>
        </w:rPr>
        <w:t>产品技术文件和工艺文件清单</w:t>
      </w:r>
    </w:p>
    <w:p>
      <w:pPr>
        <w:jc w:val="center"/>
        <w:rPr>
          <w:rFonts w:ascii="宋体" w:hAnsi="宋体"/>
          <w:b/>
          <w:color w:val="FF00FF"/>
          <w:sz w:val="28"/>
          <w:szCs w:val="28"/>
        </w:rPr>
      </w:pPr>
    </w:p>
    <w:tbl>
      <w:tblPr>
        <w:tblStyle w:val="19"/>
        <w:tblW w:w="90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266"/>
        <w:gridCol w:w="4515"/>
        <w:gridCol w:w="17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序号</w:t>
            </w:r>
          </w:p>
        </w:tc>
        <w:tc>
          <w:tcPr>
            <w:tcW w:w="1266"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产品单元</w:t>
            </w:r>
          </w:p>
        </w:tc>
        <w:tc>
          <w:tcPr>
            <w:tcW w:w="4515"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技术文件/工艺文件名称</w:t>
            </w:r>
          </w:p>
        </w:tc>
        <w:tc>
          <w:tcPr>
            <w:tcW w:w="1782"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文件编号</w:t>
            </w:r>
          </w:p>
        </w:tc>
        <w:tc>
          <w:tcPr>
            <w:tcW w:w="720" w:type="dxa"/>
            <w:vMerge w:val="restart"/>
            <w:vAlign w:val="center"/>
          </w:tcPr>
          <w:p>
            <w:pPr>
              <w:adjustRightInd w:val="0"/>
              <w:jc w:val="center"/>
              <w:textAlignment w:val="baseline"/>
              <w:rPr>
                <w:rFonts w:ascii="宋体" w:hAnsi="Courier New"/>
                <w:b/>
                <w:color w:val="000000"/>
                <w:szCs w:val="21"/>
              </w:rPr>
            </w:pPr>
            <w:r>
              <w:rPr>
                <w:rFonts w:hint="eastAsia" w:ascii="宋体" w:hAnsi="Courier New"/>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32" w:type="dxa"/>
            <w:vMerge w:val="continue"/>
            <w:vAlign w:val="center"/>
          </w:tcPr>
          <w:p>
            <w:pPr>
              <w:adjustRightInd w:val="0"/>
              <w:jc w:val="center"/>
              <w:textAlignment w:val="baseline"/>
              <w:rPr>
                <w:rFonts w:ascii="宋体" w:hAnsi="Courier New"/>
                <w:b/>
                <w:color w:val="000000"/>
              </w:rPr>
            </w:pPr>
          </w:p>
        </w:tc>
        <w:tc>
          <w:tcPr>
            <w:tcW w:w="1266" w:type="dxa"/>
            <w:vMerge w:val="continue"/>
            <w:vAlign w:val="center"/>
          </w:tcPr>
          <w:p>
            <w:pPr>
              <w:adjustRightInd w:val="0"/>
              <w:jc w:val="center"/>
              <w:textAlignment w:val="baseline"/>
              <w:rPr>
                <w:rFonts w:ascii="宋体" w:hAnsi="Courier New"/>
                <w:b/>
                <w:color w:val="000000"/>
              </w:rPr>
            </w:pPr>
          </w:p>
        </w:tc>
        <w:tc>
          <w:tcPr>
            <w:tcW w:w="4515" w:type="dxa"/>
            <w:vMerge w:val="continue"/>
            <w:vAlign w:val="center"/>
          </w:tcPr>
          <w:p>
            <w:pPr>
              <w:adjustRightInd w:val="0"/>
              <w:jc w:val="center"/>
              <w:textAlignment w:val="baseline"/>
              <w:rPr>
                <w:rFonts w:ascii="宋体" w:hAnsi="Courier New"/>
                <w:b/>
                <w:color w:val="000000"/>
              </w:rPr>
            </w:pPr>
          </w:p>
        </w:tc>
        <w:tc>
          <w:tcPr>
            <w:tcW w:w="1782" w:type="dxa"/>
            <w:vMerge w:val="continue"/>
            <w:vAlign w:val="center"/>
          </w:tcPr>
          <w:p>
            <w:pPr>
              <w:adjustRightInd w:val="0"/>
              <w:jc w:val="center"/>
              <w:textAlignment w:val="baseline"/>
              <w:rPr>
                <w:rFonts w:ascii="宋体" w:hAnsi="Courier New"/>
                <w:b/>
                <w:color w:val="000000"/>
              </w:rPr>
            </w:pPr>
          </w:p>
        </w:tc>
        <w:tc>
          <w:tcPr>
            <w:tcW w:w="720" w:type="dxa"/>
            <w:vMerge w:val="continue"/>
            <w:vAlign w:val="center"/>
          </w:tcPr>
          <w:p>
            <w:pPr>
              <w:adjustRightInd w:val="0"/>
              <w:jc w:val="center"/>
              <w:textAlignment w:val="baseline"/>
              <w:rPr>
                <w:rFonts w:ascii="宋体" w:hAnsi="Courier New"/>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2" w:type="dxa"/>
          </w:tcPr>
          <w:p>
            <w:pPr>
              <w:adjustRightInd w:val="0"/>
              <w:textAlignment w:val="baseline"/>
              <w:rPr>
                <w:rFonts w:ascii="宋体" w:hAnsi="Courier New"/>
                <w:color w:val="000000"/>
              </w:rPr>
            </w:pPr>
          </w:p>
        </w:tc>
        <w:tc>
          <w:tcPr>
            <w:tcW w:w="1266" w:type="dxa"/>
          </w:tcPr>
          <w:p>
            <w:pPr>
              <w:adjustRightInd w:val="0"/>
              <w:textAlignment w:val="baseline"/>
              <w:rPr>
                <w:rFonts w:ascii="宋体" w:hAnsi="Courier New"/>
                <w:color w:val="000000"/>
              </w:rPr>
            </w:pPr>
          </w:p>
        </w:tc>
        <w:tc>
          <w:tcPr>
            <w:tcW w:w="4515" w:type="dxa"/>
          </w:tcPr>
          <w:p>
            <w:pPr>
              <w:adjustRightInd w:val="0"/>
              <w:textAlignment w:val="baseline"/>
              <w:rPr>
                <w:rFonts w:ascii="宋体" w:hAnsi="Courier New"/>
                <w:color w:val="000000"/>
              </w:rPr>
            </w:pPr>
          </w:p>
        </w:tc>
        <w:tc>
          <w:tcPr>
            <w:tcW w:w="1782" w:type="dxa"/>
          </w:tcPr>
          <w:p>
            <w:pPr>
              <w:adjustRightInd w:val="0"/>
              <w:textAlignment w:val="baseline"/>
              <w:rPr>
                <w:rFonts w:ascii="宋体" w:hAnsi="Courier New"/>
                <w:color w:val="000000"/>
              </w:rPr>
            </w:pPr>
          </w:p>
        </w:tc>
        <w:tc>
          <w:tcPr>
            <w:tcW w:w="720" w:type="dxa"/>
          </w:tcPr>
          <w:p>
            <w:pPr>
              <w:adjustRightInd w:val="0"/>
              <w:textAlignment w:val="baseline"/>
              <w:rPr>
                <w:rFonts w:ascii="宋体" w:hAnsi="Courier New"/>
                <w:color w:val="000000"/>
              </w:rPr>
            </w:pPr>
          </w:p>
        </w:tc>
      </w:tr>
    </w:tbl>
    <w:p>
      <w:pPr>
        <w:spacing w:line="480" w:lineRule="exact"/>
        <w:rPr>
          <w:rFonts w:ascii="宋体" w:hAnsi="宋体"/>
          <w:szCs w:val="21"/>
        </w:rPr>
      </w:pPr>
      <w:r>
        <w:rPr>
          <w:rFonts w:hint="eastAsia" w:ascii="宋体" w:hAnsi="宋体"/>
          <w:szCs w:val="21"/>
        </w:rPr>
        <w:t>注：企业根据本公司制定的文件管理规定按实际情况填写，审查组现场核实。</w:t>
      </w:r>
    </w:p>
    <w:p>
      <w:pPr>
        <w:spacing w:line="480" w:lineRule="exact"/>
        <w:rPr>
          <w:rFonts w:ascii="宋体" w:hAnsi="宋体"/>
          <w:szCs w:val="21"/>
        </w:rPr>
      </w:pPr>
    </w:p>
    <w:p>
      <w:pPr>
        <w:widowControl/>
        <w:jc w:val="left"/>
        <w:rPr>
          <w:rFonts w:ascii="宋体" w:hAnsi="宋体"/>
          <w:szCs w:val="21"/>
        </w:rPr>
      </w:pPr>
      <w:r>
        <w:rPr>
          <w:rFonts w:ascii="宋体" w:hAnsi="宋体"/>
          <w:szCs w:val="21"/>
        </w:rPr>
        <w:br w:type="page"/>
      </w:r>
    </w:p>
    <w:p>
      <w:pPr>
        <w:pStyle w:val="4"/>
      </w:pPr>
      <w:bookmarkStart w:id="19" w:name="_Toc524357740"/>
      <w:r>
        <w:rPr>
          <w:rFonts w:hint="eastAsia" w:asciiTheme="minorEastAsia" w:hAnsiTheme="minorEastAsia" w:eastAsiaTheme="minorEastAsia"/>
        </w:rPr>
        <w:t>附件3</w:t>
      </w:r>
      <w:r>
        <w:rPr>
          <w:rFonts w:hint="eastAsia"/>
        </w:rPr>
        <w:t xml:space="preserve"> </w:t>
      </w:r>
      <w:bookmarkEnd w:id="19"/>
    </w:p>
    <w:p>
      <w:pPr>
        <w:pStyle w:val="4"/>
        <w:rPr>
          <w:rFonts w:hint="eastAsia" w:eastAsia="宋体"/>
          <w:lang w:eastAsia="zh-CN"/>
        </w:rPr>
      </w:pPr>
    </w:p>
    <w:p>
      <w:pPr>
        <w:rPr>
          <w:rFonts w:hint="eastAsia"/>
          <w:lang w:eastAsia="zh-CN"/>
        </w:rPr>
      </w:pPr>
    </w:p>
    <w:p>
      <w:pPr>
        <w:rPr>
          <w:color w:val="000000"/>
          <w:sz w:val="48"/>
        </w:rPr>
      </w:pPr>
    </w:p>
    <w:p>
      <w:pPr>
        <w:rPr>
          <w:color w:val="000000"/>
          <w:sz w:val="4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b/>
          <w:bCs/>
          <w:color w:val="000000"/>
          <w:spacing w:val="-6"/>
          <w:sz w:val="44"/>
          <w:szCs w:val="44"/>
        </w:rPr>
      </w:pPr>
      <w:r>
        <w:rPr>
          <w:rFonts w:hint="eastAsia" w:ascii="宋体" w:hAnsi="宋体"/>
          <w:b/>
          <w:bCs/>
          <w:color w:val="000000"/>
          <w:spacing w:val="-6"/>
          <w:sz w:val="44"/>
          <w:szCs w:val="44"/>
        </w:rPr>
        <w:t>预应力混凝土铁路桥简支梁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color w:val="000000"/>
          <w:spacing w:val="-6"/>
          <w:sz w:val="44"/>
          <w:szCs w:val="44"/>
        </w:rPr>
      </w:pPr>
      <w:r>
        <w:rPr>
          <w:rFonts w:hint="eastAsia"/>
          <w:b/>
          <w:bCs/>
          <w:color w:val="000000"/>
          <w:spacing w:val="-6"/>
          <w:sz w:val="44"/>
          <w:szCs w:val="44"/>
        </w:rPr>
        <w:t>产品生产许可证</w:t>
      </w:r>
      <w:r>
        <w:rPr>
          <w:rFonts w:hint="eastAsia"/>
          <w:b/>
          <w:bCs/>
          <w:color w:val="000000"/>
          <w:sz w:val="44"/>
          <w:szCs w:val="44"/>
        </w:rPr>
        <w:t>企业实地核查办法</w:t>
      </w:r>
    </w:p>
    <w:p>
      <w:pPr>
        <w:jc w:val="center"/>
        <w:rPr>
          <w:b/>
          <w:bCs/>
          <w:color w:val="000000"/>
          <w:sz w:val="48"/>
        </w:rPr>
      </w:pPr>
    </w:p>
    <w:p>
      <w:pPr>
        <w:jc w:val="center"/>
        <w:rPr>
          <w:b/>
          <w:bCs/>
          <w:color w:val="000000"/>
          <w:sz w:val="48"/>
        </w:rPr>
      </w:pPr>
    </w:p>
    <w:p>
      <w:pPr>
        <w:jc w:val="center"/>
        <w:rPr>
          <w:b/>
          <w:bCs/>
          <w:color w:val="000000"/>
          <w:sz w:val="48"/>
        </w:rPr>
      </w:pPr>
    </w:p>
    <w:p>
      <w:pPr>
        <w:jc w:val="center"/>
        <w:rPr>
          <w:b/>
          <w:bCs/>
          <w:color w:val="000000"/>
          <w:sz w:val="48"/>
        </w:rPr>
      </w:pPr>
    </w:p>
    <w:p>
      <w:pPr>
        <w:ind w:firstLine="843" w:firstLineChars="300"/>
        <w:rPr>
          <w:color w:val="000000"/>
          <w:sz w:val="28"/>
          <w:szCs w:val="28"/>
          <w:u w:val="single"/>
        </w:rPr>
      </w:pPr>
      <w:r>
        <w:rPr>
          <w:rFonts w:hint="eastAsia"/>
          <w:b/>
          <w:bCs/>
          <w:color w:val="000000"/>
          <w:sz w:val="28"/>
          <w:szCs w:val="28"/>
        </w:rPr>
        <w:t>企业名称</w:t>
      </w:r>
      <w:r>
        <w:rPr>
          <w:rFonts w:hint="eastAsia"/>
          <w:color w:val="000000"/>
          <w:sz w:val="28"/>
          <w:szCs w:val="28"/>
        </w:rPr>
        <w:t>：</w:t>
      </w:r>
      <w:r>
        <w:rPr>
          <w:rFonts w:hint="eastAsia"/>
          <w:color w:val="000000"/>
          <w:sz w:val="28"/>
          <w:szCs w:val="28"/>
          <w:u w:val="single"/>
        </w:rPr>
        <w:t xml:space="preserve">                                   </w:t>
      </w:r>
    </w:p>
    <w:p>
      <w:pPr>
        <w:ind w:firstLine="560" w:firstLineChars="200"/>
        <w:rPr>
          <w:color w:val="000000"/>
          <w:sz w:val="28"/>
          <w:szCs w:val="28"/>
          <w:u w:val="single"/>
        </w:rPr>
      </w:pPr>
    </w:p>
    <w:p>
      <w:pPr>
        <w:ind w:firstLine="843" w:firstLineChars="300"/>
        <w:rPr>
          <w:color w:val="000000"/>
          <w:sz w:val="28"/>
          <w:szCs w:val="28"/>
          <w:u w:val="single"/>
        </w:rPr>
      </w:pPr>
      <w:r>
        <w:rPr>
          <w:rFonts w:hint="eastAsia"/>
          <w:b/>
          <w:bCs/>
          <w:color w:val="000000"/>
          <w:sz w:val="28"/>
          <w:szCs w:val="28"/>
        </w:rPr>
        <w:t>生产地址：</w:t>
      </w:r>
      <w:r>
        <w:rPr>
          <w:rFonts w:hint="eastAsia"/>
          <w:color w:val="000000"/>
          <w:sz w:val="28"/>
          <w:szCs w:val="28"/>
          <w:u w:val="single"/>
        </w:rPr>
        <w:t xml:space="preserve">                                   </w:t>
      </w:r>
    </w:p>
    <w:p>
      <w:pPr>
        <w:ind w:firstLine="840" w:firstLineChars="300"/>
        <w:rPr>
          <w:color w:val="000000"/>
          <w:sz w:val="28"/>
          <w:szCs w:val="28"/>
          <w:u w:val="single"/>
        </w:rPr>
      </w:pPr>
    </w:p>
    <w:p>
      <w:pPr>
        <w:ind w:firstLine="843" w:firstLineChars="300"/>
        <w:rPr>
          <w:color w:val="000000"/>
          <w:sz w:val="28"/>
          <w:szCs w:val="28"/>
          <w:u w:val="single"/>
        </w:rPr>
      </w:pPr>
      <w:r>
        <w:rPr>
          <w:rFonts w:hint="eastAsia"/>
          <w:b/>
          <w:bCs/>
          <w:color w:val="000000"/>
          <w:sz w:val="28"/>
          <w:szCs w:val="28"/>
        </w:rPr>
        <w:t>产品名称：</w:t>
      </w:r>
      <w:r>
        <w:rPr>
          <w:rFonts w:hint="eastAsia"/>
          <w:color w:val="000000"/>
          <w:sz w:val="28"/>
          <w:szCs w:val="28"/>
          <w:u w:val="single"/>
        </w:rPr>
        <w:t xml:space="preserve">                                   </w:t>
      </w:r>
    </w:p>
    <w:p>
      <w:pPr>
        <w:ind w:firstLine="840" w:firstLineChars="300"/>
        <w:rPr>
          <w:color w:val="000000"/>
          <w:sz w:val="28"/>
          <w:szCs w:val="28"/>
        </w:rPr>
      </w:pPr>
    </w:p>
    <w:p>
      <w:pPr>
        <w:ind w:firstLine="843" w:firstLineChars="300"/>
        <w:rPr>
          <w:color w:val="000000"/>
          <w:sz w:val="28"/>
          <w:szCs w:val="28"/>
          <w:u w:val="single"/>
        </w:rPr>
      </w:pPr>
      <w:r>
        <w:rPr>
          <w:rFonts w:hint="eastAsia"/>
          <w:b/>
          <w:bCs/>
          <w:color w:val="000000"/>
          <w:sz w:val="28"/>
          <w:szCs w:val="28"/>
        </w:rPr>
        <w:t>产品单元：</w:t>
      </w:r>
      <w:r>
        <w:rPr>
          <w:rFonts w:hint="eastAsia"/>
          <w:color w:val="000000"/>
          <w:sz w:val="28"/>
          <w:szCs w:val="28"/>
          <w:u w:val="single"/>
        </w:rPr>
        <w:t xml:space="preserve">                                   </w:t>
      </w: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ind w:firstLine="900" w:firstLineChars="300"/>
        <w:rPr>
          <w:color w:val="000000"/>
          <w:sz w:val="30"/>
          <w:u w:val="single"/>
        </w:rPr>
      </w:pPr>
    </w:p>
    <w:p>
      <w:pPr>
        <w:jc w:val="center"/>
        <w:rPr>
          <w:rFonts w:ascii="宋体" w:hAnsi="宋体"/>
          <w:b/>
          <w:bCs/>
          <w:color w:val="000000"/>
          <w:sz w:val="32"/>
          <w:szCs w:val="24"/>
        </w:rPr>
      </w:pPr>
      <w:r>
        <w:rPr>
          <w:rFonts w:hint="eastAsia" w:asciiTheme="minorEastAsia" w:hAnsiTheme="minorEastAsia" w:eastAsiaTheme="minorEastAsia"/>
          <w:b/>
          <w:color w:val="000000"/>
          <w:kern w:val="0"/>
          <w:sz w:val="32"/>
          <w:szCs w:val="32"/>
        </w:rPr>
        <w:t>国家市场监督管理总局</w:t>
      </w:r>
    </w:p>
    <w:p>
      <w:pPr>
        <w:rPr>
          <w:rFonts w:ascii="宋体" w:hAnsi="宋体"/>
          <w:b/>
          <w:bCs/>
          <w:color w:val="000000"/>
          <w:sz w:val="32"/>
          <w:szCs w:val="24"/>
        </w:rPr>
      </w:pPr>
    </w:p>
    <w:p>
      <w:pPr>
        <w:jc w:val="center"/>
        <w:rPr>
          <w:rFonts w:ascii="宋体" w:hAnsi="宋体"/>
          <w:b/>
          <w:bCs/>
          <w:color w:val="000000"/>
          <w:sz w:val="32"/>
          <w:szCs w:val="24"/>
        </w:rPr>
        <w:sectPr>
          <w:pgSz w:w="11906" w:h="16838"/>
          <w:pgMar w:top="1418" w:right="1418" w:bottom="1418" w:left="1418" w:header="851" w:footer="992" w:gutter="0"/>
          <w:cols w:space="720" w:num="1"/>
          <w:docGrid w:linePitch="312" w:charSpace="0"/>
        </w:sectPr>
      </w:pPr>
    </w:p>
    <w:p>
      <w:pPr>
        <w:spacing w:line="360" w:lineRule="auto"/>
        <w:jc w:val="center"/>
        <w:rPr>
          <w:rFonts w:hint="eastAsia" w:ascii="宋体"/>
          <w:b/>
          <w:color w:val="000000"/>
          <w:sz w:val="32"/>
          <w:szCs w:val="32"/>
        </w:rPr>
      </w:pPr>
    </w:p>
    <w:p>
      <w:pPr>
        <w:spacing w:line="360" w:lineRule="auto"/>
        <w:jc w:val="center"/>
        <w:rPr>
          <w:rFonts w:ascii="宋体"/>
          <w:b/>
          <w:color w:val="000000"/>
          <w:sz w:val="32"/>
          <w:szCs w:val="32"/>
        </w:rPr>
      </w:pPr>
      <w:r>
        <w:rPr>
          <w:rFonts w:hint="eastAsia" w:ascii="宋体"/>
          <w:b/>
          <w:color w:val="000000"/>
          <w:sz w:val="32"/>
          <w:szCs w:val="32"/>
        </w:rPr>
        <w:t>应</w:t>
      </w:r>
      <w:r>
        <w:rPr>
          <w:rFonts w:hint="default" w:ascii="宋体"/>
          <w:b/>
          <w:color w:val="000000"/>
          <w:sz w:val="32"/>
          <w:szCs w:val="32"/>
          <w:lang w:val="en-US"/>
        </w:rPr>
        <w:t xml:space="preserve"> </w:t>
      </w:r>
      <w:r>
        <w:rPr>
          <w:rFonts w:hint="eastAsia" w:ascii="宋体"/>
          <w:b/>
          <w:color w:val="000000"/>
          <w:sz w:val="32"/>
          <w:szCs w:val="32"/>
        </w:rPr>
        <w:t>用</w:t>
      </w:r>
      <w:r>
        <w:rPr>
          <w:rFonts w:hint="default" w:ascii="宋体"/>
          <w:b/>
          <w:color w:val="000000"/>
          <w:sz w:val="32"/>
          <w:szCs w:val="32"/>
          <w:lang w:val="en-US"/>
        </w:rPr>
        <w:t xml:space="preserve"> </w:t>
      </w:r>
      <w:r>
        <w:rPr>
          <w:rFonts w:hint="eastAsia" w:ascii="宋体"/>
          <w:b/>
          <w:color w:val="000000"/>
          <w:sz w:val="32"/>
          <w:szCs w:val="32"/>
        </w:rPr>
        <w:t>说</w:t>
      </w:r>
      <w:r>
        <w:rPr>
          <w:rFonts w:hint="default" w:ascii="宋体"/>
          <w:b/>
          <w:color w:val="000000"/>
          <w:sz w:val="32"/>
          <w:szCs w:val="32"/>
          <w:lang w:val="en-US"/>
        </w:rPr>
        <w:t xml:space="preserve"> </w:t>
      </w:r>
      <w:r>
        <w:rPr>
          <w:rFonts w:hint="eastAsia" w:ascii="宋体"/>
          <w:b/>
          <w:color w:val="000000"/>
          <w:sz w:val="32"/>
          <w:szCs w:val="32"/>
        </w:rPr>
        <w:t>明</w:t>
      </w:r>
    </w:p>
    <w:p>
      <w:pPr>
        <w:spacing w:line="360" w:lineRule="auto"/>
        <w:jc w:val="center"/>
        <w:rPr>
          <w:rFonts w:ascii="宋体"/>
          <w:b/>
          <w:color w:val="000000"/>
          <w:sz w:val="32"/>
          <w:szCs w:val="32"/>
        </w:rPr>
      </w:pPr>
    </w:p>
    <w:p>
      <w:pPr>
        <w:spacing w:line="360" w:lineRule="auto"/>
        <w:ind w:firstLine="420" w:firstLineChars="200"/>
        <w:rPr>
          <w:rFonts w:ascii="宋体" w:hAnsi="宋体"/>
          <w:bCs/>
          <w:color w:val="800080"/>
          <w:u w:val="single"/>
        </w:rPr>
      </w:pPr>
      <w:r>
        <w:rPr>
          <w:rFonts w:hint="eastAsia" w:ascii="宋体" w:hAnsi="宋体"/>
          <w:bCs/>
          <w:color w:val="000000"/>
          <w:szCs w:val="32"/>
        </w:rPr>
        <w:t xml:space="preserve">1. </w:t>
      </w:r>
      <w:r>
        <w:rPr>
          <w:rFonts w:hint="eastAsia" w:ascii="宋体" w:hAnsi="宋体"/>
          <w:color w:val="000000"/>
          <w:szCs w:val="21"/>
        </w:rPr>
        <w:t>本办法核查内容分为5大部分17条26款，应逐条款进行核查，并根据其满足程度和相关条款“备注”栏中给出的认定原则分别作出符合、不符合、建议改进。</w:t>
      </w:r>
    </w:p>
    <w:p>
      <w:pPr>
        <w:spacing w:line="360" w:lineRule="auto"/>
        <w:ind w:firstLine="420" w:firstLineChars="200"/>
        <w:rPr>
          <w:rFonts w:ascii="宋体" w:hAnsi="宋体"/>
          <w:color w:val="000000"/>
          <w:szCs w:val="21"/>
        </w:rPr>
      </w:pPr>
      <w:r>
        <w:rPr>
          <w:rFonts w:hint="eastAsia" w:ascii="宋体" w:hAnsi="宋体"/>
          <w:bCs/>
          <w:color w:val="000000"/>
          <w:szCs w:val="32"/>
        </w:rPr>
        <w:t>2. 凡涉及到企业申请材料真实性、符合性</w:t>
      </w:r>
      <w:r>
        <w:rPr>
          <w:rFonts w:hint="eastAsia" w:ascii="宋体" w:hAnsi="宋体"/>
          <w:color w:val="000000"/>
          <w:szCs w:val="21"/>
        </w:rPr>
        <w:t>问题的，均应判为不符合。</w:t>
      </w:r>
    </w:p>
    <w:p>
      <w:pPr>
        <w:spacing w:line="360" w:lineRule="auto"/>
        <w:ind w:firstLine="420" w:firstLineChars="200"/>
        <w:rPr>
          <w:rFonts w:ascii="宋体" w:hAnsi="宋体"/>
          <w:bCs/>
          <w:i/>
          <w:iCs/>
          <w:color w:val="000000"/>
          <w:szCs w:val="32"/>
        </w:rPr>
      </w:pPr>
      <w:r>
        <w:rPr>
          <w:rFonts w:hint="eastAsia" w:ascii="宋体" w:hAnsi="宋体"/>
          <w:bCs/>
          <w:color w:val="000000"/>
          <w:szCs w:val="32"/>
        </w:rPr>
        <w:t>3. 凡涉及到企业的生产</w:t>
      </w:r>
      <w:r>
        <w:rPr>
          <w:rFonts w:hint="eastAsia" w:ascii="宋体" w:hAnsi="宋体"/>
          <w:color w:val="000000"/>
          <w:szCs w:val="21"/>
        </w:rPr>
        <w:t>设施、生产设备、检验设备、关键岗位技术操作专门人员等缺失问题的，或存在系统性、区域性、严重性问题的，均应判相关条不符合。</w:t>
      </w:r>
    </w:p>
    <w:p>
      <w:pPr>
        <w:spacing w:line="360" w:lineRule="auto"/>
        <w:ind w:firstLine="420" w:firstLineChars="200"/>
        <w:rPr>
          <w:rFonts w:ascii="宋体" w:hAnsi="宋体"/>
          <w:bCs/>
          <w:color w:val="000000"/>
          <w:szCs w:val="32"/>
        </w:rPr>
      </w:pPr>
      <w:r>
        <w:rPr>
          <w:rFonts w:hint="eastAsia" w:ascii="宋体" w:hAnsi="宋体"/>
          <w:bCs/>
          <w:color w:val="000000"/>
          <w:szCs w:val="32"/>
        </w:rPr>
        <w:t>4. 每款核查内容逐个判断，并在对应的“是”或“否”的选项框中打“√”，凡在“否”的选项框中打“√”的，均须填写详细的不符合事实。</w:t>
      </w:r>
    </w:p>
    <w:p>
      <w:pPr>
        <w:spacing w:line="360" w:lineRule="auto"/>
        <w:ind w:firstLine="420" w:firstLineChars="200"/>
        <w:rPr>
          <w:rFonts w:ascii="宋体" w:hAnsi="宋体"/>
          <w:bCs/>
          <w:color w:val="000000"/>
          <w:szCs w:val="32"/>
        </w:rPr>
      </w:pPr>
      <w:r>
        <w:rPr>
          <w:rFonts w:hint="eastAsia" w:ascii="宋体" w:hAnsi="宋体"/>
          <w:bCs/>
          <w:color w:val="000000"/>
          <w:szCs w:val="32"/>
        </w:rPr>
        <w:t>5．核查结论的确定原则：经核查17条均未发现不符合，核查结论为合格。否则核查结论为不合格。</w:t>
      </w:r>
    </w:p>
    <w:p>
      <w:pPr>
        <w:spacing w:line="360" w:lineRule="auto"/>
        <w:ind w:firstLine="420" w:firstLineChars="200"/>
        <w:rPr>
          <w:rFonts w:hint="eastAsia" w:ascii="宋体" w:hAnsi="宋体"/>
          <w:bCs/>
          <w:color w:val="000000"/>
          <w:szCs w:val="32"/>
        </w:rPr>
      </w:pPr>
      <w:r>
        <w:rPr>
          <w:rFonts w:hint="eastAsia" w:ascii="宋体" w:hAnsi="宋体"/>
          <w:bCs/>
          <w:color w:val="000000"/>
          <w:szCs w:val="32"/>
        </w:rPr>
        <w:t>6. 审查组依据本办法对企业实地核查后，填写《生产许可证企业实地核查报告》和《企业实地核查不符合项和改进项汇总表》。</w:t>
      </w:r>
    </w:p>
    <w:p>
      <w:pPr>
        <w:spacing w:line="360" w:lineRule="auto"/>
        <w:ind w:firstLine="420" w:firstLineChars="200"/>
        <w:rPr>
          <w:rFonts w:hint="eastAsia" w:ascii="宋体" w:hAnsi="宋体"/>
          <w:bCs/>
          <w:color w:val="000000"/>
          <w:szCs w:val="32"/>
        </w:rPr>
      </w:pPr>
    </w:p>
    <w:p>
      <w:pPr>
        <w:jc w:val="center"/>
        <w:rPr>
          <w:rFonts w:ascii="宋体" w:hAnsi="宋体"/>
          <w:b/>
          <w:bCs/>
          <w:color w:val="000000"/>
          <w:sz w:val="32"/>
          <w:szCs w:val="24"/>
        </w:rPr>
        <w:sectPr>
          <w:pgSz w:w="11906" w:h="16838"/>
          <w:pgMar w:top="1418" w:right="1418" w:bottom="1418" w:left="1418" w:header="851" w:footer="992" w:gutter="0"/>
          <w:cols w:space="720" w:num="1"/>
          <w:docGrid w:linePitch="312" w:charSpace="0"/>
        </w:sectPr>
      </w:pPr>
    </w:p>
    <w:tbl>
      <w:tblPr>
        <w:tblStyle w:val="19"/>
        <w:tblW w:w="14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
      <w:tblGrid>
        <w:gridCol w:w="766"/>
        <w:gridCol w:w="725"/>
        <w:gridCol w:w="4978"/>
        <w:gridCol w:w="2950"/>
        <w:gridCol w:w="186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55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hanging="8"/>
              <w:jc w:val="center"/>
              <w:textAlignment w:val="auto"/>
              <w:outlineLvl w:val="9"/>
              <w:rPr>
                <w:rFonts w:ascii="宋体" w:hAnsi="宋体"/>
                <w:b/>
                <w:bCs/>
                <w:color w:val="000000"/>
                <w:spacing w:val="0"/>
              </w:rPr>
            </w:pPr>
            <w:r>
              <w:rPr>
                <w:rFonts w:hint="eastAsia" w:ascii="宋体" w:hAnsi="宋体"/>
                <w:b/>
                <w:bCs/>
                <w:color w:val="000000"/>
                <w:spacing w:val="0"/>
              </w:rPr>
              <w:t>1</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spacing w:val="0"/>
              </w:rPr>
              <w:t>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714"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hanging="8"/>
              <w:jc w:val="center"/>
              <w:textAlignment w:val="auto"/>
              <w:outlineLvl w:val="9"/>
              <w:rPr>
                <w:rFonts w:ascii="宋体" w:hAnsi="宋体"/>
                <w:bCs/>
                <w:color w:val="000000"/>
                <w:spacing w:val="0"/>
              </w:rPr>
            </w:pPr>
            <w:r>
              <w:rPr>
                <w:rFonts w:hint="eastAsia" w:ascii="宋体" w:hAnsi="宋体"/>
                <w:bCs/>
                <w:color w:val="000000"/>
                <w:spacing w:val="0"/>
              </w:rPr>
              <w:t>1.1</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营业</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执照</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1）申请书填写的住所与营业执照是否一致；</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1.经营范围是广义的概念，可按行业或大类分，只要涉及申请许可证产品即可；</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2. 1）～2）款，若为填写错误允许勘误，此类情况不作为不符合。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66"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2）实际生产地址与申请书填写的是否一致；</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821"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3）实际生产地址与工商管理部门登记的是否一致（实际生产地址应与营业执照住所同地址，若不同，该生产地址应工商登记或备案）；经营范围是否涉及申请许可证产品；是否在有效期限内。</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74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hanging="8"/>
              <w:jc w:val="center"/>
              <w:textAlignment w:val="auto"/>
              <w:outlineLvl w:val="9"/>
              <w:rPr>
                <w:rFonts w:ascii="宋体" w:hAnsi="宋体"/>
                <w:bCs/>
                <w:color w:val="000000"/>
                <w:spacing w:val="0"/>
              </w:rPr>
            </w:pPr>
            <w:r>
              <w:rPr>
                <w:rFonts w:hint="eastAsia" w:ascii="宋体" w:hAnsi="宋体"/>
                <w:bCs/>
                <w:color w:val="000000"/>
                <w:spacing w:val="0"/>
              </w:rPr>
              <w:t>1.2</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检验</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报告</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4）企业应提供满足要求的检测报告。</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spacing w:val="0"/>
              </w:rPr>
              <w:t>①</w:t>
            </w:r>
            <w:r>
              <w:rPr>
                <w:rFonts w:hint="eastAsia" w:ascii="宋体" w:hAnsi="宋体"/>
                <w:bCs/>
                <w:color w:val="000000"/>
                <w:spacing w:val="0"/>
              </w:rPr>
              <w:t>企业申请时提交的合格的产品检测报告的出具机构是否获得检验检测机构资质认定，认定的检测范围是否包含本细则要求的产品标准、附件1规定的检验方法标准和本实施细则，且在有效期内；检测报告的检测项目是否覆盖本细则规定的产品检测项目；判定原则是否与附件</w:t>
            </w:r>
            <w:r>
              <w:rPr>
                <w:rFonts w:ascii="宋体" w:hAnsi="宋体"/>
                <w:bCs/>
                <w:color w:val="000000"/>
                <w:spacing w:val="0"/>
              </w:rPr>
              <w:t>1规定的原则一致</w:t>
            </w:r>
            <w:r>
              <w:rPr>
                <w:rFonts w:hint="eastAsia" w:ascii="宋体" w:hAnsi="宋体"/>
                <w:bCs/>
                <w:color w:val="000000"/>
                <w:spacing w:val="0"/>
              </w:rPr>
              <w:t>。</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②产品检测报告签发日期应在1年以内，检测项目应覆盖本细则附件1规定的检测项目，产品检测报告应包括抽样单，抽样单应加盖检测机构的公章或者骑缝章，抽样单中应载明生产单位、生产地址、产品单元和品种、抽样基数和样品的全部梁号、图纸图号、抽样人员及抽样人员所在单位等信息并加盖生产单位和抽样人员所在单位公章。</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spacing w:val="0"/>
                <w:kern w:val="0"/>
                <w:szCs w:val="21"/>
              </w:rPr>
            </w:pPr>
            <w:r>
              <w:rPr>
                <w:rFonts w:hint="eastAsia" w:ascii="宋体" w:hAnsi="宋体"/>
                <w:bCs/>
                <w:color w:val="000000"/>
                <w:spacing w:val="0"/>
              </w:rPr>
              <w:t>③抽样人员和检测机构，应是与企业没有利益关系的第三方机构和人员，抽检样品种类、抽样方法、抽样基数和样品数量应满足本细则第四章第九条表4的要求。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 </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1.检测报告和抽样单不符合核查内容4）时，应判不符合；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2.抽样基数未覆盖抽样时的全部成品梁的，应判不符合；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3.检测报告和抽样单若有不影响检验工作质量的笔误，不作为不符合。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63"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hanging="8"/>
              <w:jc w:val="center"/>
              <w:textAlignment w:val="auto"/>
              <w:outlineLvl w:val="9"/>
              <w:rPr>
                <w:rFonts w:ascii="宋体" w:hAnsi="宋体"/>
                <w:bCs/>
                <w:color w:val="000000"/>
                <w:spacing w:val="0"/>
              </w:rPr>
            </w:pPr>
            <w:r>
              <w:rPr>
                <w:rFonts w:hint="eastAsia" w:ascii="宋体" w:hAnsi="宋体"/>
                <w:bCs/>
                <w:color w:val="000000"/>
                <w:spacing w:val="0"/>
              </w:rPr>
              <w:t>2</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color w:val="000000"/>
                <w:spacing w:val="0"/>
              </w:rPr>
              <w:t>人员能力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83"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2.1</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hint="eastAsia" w:ascii="宋体" w:hAnsi="宋体"/>
                <w:bCs/>
                <w:color w:val="000000"/>
                <w:spacing w:val="0"/>
              </w:rPr>
            </w:pPr>
            <w:r>
              <w:rPr>
                <w:rFonts w:hint="eastAsia" w:ascii="宋体" w:hAnsi="宋体"/>
                <w:bCs/>
                <w:color w:val="000000"/>
                <w:spacing w:val="0"/>
              </w:rPr>
              <w:t>技术</w:t>
            </w:r>
          </w:p>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人员</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5）是否熟悉所申请的产品标准</w:t>
            </w:r>
            <w:r>
              <w:rPr>
                <w:rFonts w:hint="eastAsia" w:ascii="宋体" w:hAnsi="宋体"/>
                <w:bCs/>
                <w:spacing w:val="0"/>
              </w:rPr>
              <w:t>和产品图纸</w:t>
            </w:r>
            <w:r>
              <w:rPr>
                <w:rFonts w:hint="eastAsia" w:ascii="宋体" w:hAnsi="宋体"/>
                <w:bCs/>
                <w:color w:val="000000"/>
                <w:spacing w:val="0"/>
              </w:rPr>
              <w:t>。</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核查内容6）为否，应判不符合。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05"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hint="eastAsia" w:ascii="宋体" w:hAnsi="宋体"/>
                <w:bCs/>
                <w:color w:val="000000"/>
                <w:spacing w:val="0"/>
              </w:rPr>
              <w:t>6）是否具有相关产品专业技术知识及人员配置。</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hint="eastAsia" w:ascii="宋体" w:hAnsi="宋体"/>
                <w:bCs/>
                <w:spacing w:val="0"/>
              </w:rPr>
              <w:t>①应具有相关产品专业技术知识；应经过技术交底培训。</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hint="eastAsia" w:ascii="宋体" w:hAnsi="宋体"/>
                <w:bCs/>
                <w:spacing w:val="0"/>
                <w:szCs w:val="21"/>
              </w:rPr>
              <w:t>②技术</w:t>
            </w:r>
            <w:r>
              <w:rPr>
                <w:rFonts w:hint="eastAsia" w:ascii="宋体" w:hAnsi="宋体"/>
                <w:bCs/>
                <w:spacing w:val="0"/>
              </w:rPr>
              <w:t>总负责人应具备铁路桥梁预制的工作经历。</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spacing w:val="0"/>
              </w:rPr>
              <w:t>③</w:t>
            </w:r>
            <w:r>
              <w:rPr>
                <w:rFonts w:ascii="宋体" w:hAnsi="宋体"/>
                <w:bCs/>
                <w:spacing w:val="0"/>
              </w:rPr>
              <w:t>工程技术人员</w:t>
            </w:r>
            <w:r>
              <w:rPr>
                <w:rFonts w:hint="eastAsia" w:ascii="宋体" w:hAnsi="宋体"/>
                <w:bCs/>
                <w:spacing w:val="0"/>
              </w:rPr>
              <w:t>数量应占企业平均员工人数的</w:t>
            </w:r>
            <w:r>
              <w:rPr>
                <w:rFonts w:ascii="宋体" w:hAnsi="宋体"/>
                <w:bCs/>
                <w:spacing w:val="0"/>
              </w:rPr>
              <w:t>6% 以上，且不少于15</w:t>
            </w:r>
            <w:r>
              <w:rPr>
                <w:rFonts w:hint="eastAsia" w:ascii="宋体" w:hAnsi="宋体"/>
                <w:bCs/>
                <w:spacing w:val="0"/>
              </w:rPr>
              <w:t>人。</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2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5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ind w:hanging="8"/>
              <w:jc w:val="center"/>
              <w:textAlignment w:val="auto"/>
              <w:outlineLvl w:val="9"/>
              <w:rPr>
                <w:rFonts w:ascii="宋体" w:hAnsi="宋体"/>
                <w:bCs/>
                <w:color w:val="000000"/>
                <w:spacing w:val="0"/>
              </w:rPr>
            </w:pPr>
            <w:r>
              <w:rPr>
                <w:rFonts w:hint="eastAsia" w:ascii="宋体" w:hAnsi="宋体"/>
                <w:bCs/>
                <w:color w:val="000000"/>
                <w:spacing w:val="0"/>
              </w:rPr>
              <w:t>2.2</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hint="eastAsia" w:ascii="宋体" w:hAnsi="宋体"/>
                <w:bCs/>
                <w:color w:val="000000"/>
                <w:spacing w:val="0"/>
              </w:rPr>
            </w:pPr>
            <w:r>
              <w:rPr>
                <w:rFonts w:hint="eastAsia" w:ascii="宋体" w:hAnsi="宋体"/>
                <w:bCs/>
                <w:color w:val="000000"/>
                <w:spacing w:val="0"/>
              </w:rPr>
              <w:t>检验</w:t>
            </w:r>
          </w:p>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人员</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hint="eastAsia" w:ascii="宋体" w:hAnsi="宋体"/>
                <w:bCs/>
                <w:spacing w:val="0"/>
              </w:rPr>
              <w:t>7）</w:t>
            </w:r>
            <w:r>
              <w:rPr>
                <w:rFonts w:ascii="宋体" w:hAnsi="宋体"/>
                <w:bCs/>
                <w:spacing w:val="0"/>
                <w:szCs w:val="21"/>
              </w:rPr>
              <w:t>是否</w:t>
            </w:r>
            <w:r>
              <w:rPr>
                <w:rFonts w:hint="eastAsia" w:ascii="宋体" w:hAnsi="宋体"/>
                <w:bCs/>
                <w:spacing w:val="0"/>
                <w:szCs w:val="21"/>
              </w:rPr>
              <w:t>具备相应的检验检测能力。</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hint="eastAsia" w:ascii="宋体" w:hAnsi="宋体"/>
                <w:bCs/>
                <w:spacing w:val="0"/>
                <w:szCs w:val="21"/>
              </w:rPr>
              <w:t>①</w:t>
            </w:r>
            <w:r>
              <w:rPr>
                <w:rFonts w:ascii="宋体" w:hAnsi="宋体"/>
                <w:bCs/>
                <w:spacing w:val="0"/>
                <w:szCs w:val="21"/>
              </w:rPr>
              <w:t>有</w:t>
            </w:r>
            <w:r>
              <w:rPr>
                <w:rFonts w:hint="eastAsia" w:ascii="宋体" w:hAnsi="宋体"/>
                <w:bCs/>
                <w:spacing w:val="0"/>
                <w:szCs w:val="21"/>
              </w:rPr>
              <w:t>梁场</w:t>
            </w:r>
            <w:r>
              <w:rPr>
                <w:rFonts w:ascii="宋体" w:hAnsi="宋体"/>
                <w:bCs/>
                <w:spacing w:val="0"/>
                <w:szCs w:val="21"/>
              </w:rPr>
              <w:t>/厂</w:t>
            </w:r>
            <w:r>
              <w:rPr>
                <w:rFonts w:hint="eastAsia" w:ascii="宋体" w:hAnsi="宋体"/>
                <w:bCs/>
                <w:spacing w:val="0"/>
                <w:szCs w:val="21"/>
              </w:rPr>
              <w:t>质检员、试验员任职条件，经考核评价具备对应的检验检测能力后持</w:t>
            </w:r>
            <w:r>
              <w:rPr>
                <w:rFonts w:ascii="宋体" w:hAnsi="宋体"/>
                <w:bCs/>
                <w:spacing w:val="0"/>
                <w:szCs w:val="21"/>
              </w:rPr>
              <w:t>证上岗。</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hint="eastAsia" w:ascii="宋体" w:hAnsi="宋体"/>
                <w:bCs/>
                <w:spacing w:val="0"/>
                <w:szCs w:val="21"/>
              </w:rPr>
              <w:t>②试验室主任技术职称应为中级及以上；持证试验人员数量：箱梁场应不少于</w:t>
            </w:r>
            <w:r>
              <w:rPr>
                <w:rFonts w:ascii="宋体" w:hAnsi="宋体"/>
                <w:bCs/>
                <w:spacing w:val="0"/>
                <w:szCs w:val="21"/>
              </w:rPr>
              <w:t>8人</w:t>
            </w:r>
            <w:r>
              <w:rPr>
                <w:rFonts w:hint="eastAsia" w:ascii="宋体" w:hAnsi="宋体"/>
                <w:bCs/>
                <w:spacing w:val="0"/>
                <w:szCs w:val="21"/>
              </w:rPr>
              <w:t>，</w:t>
            </w:r>
            <w:r>
              <w:rPr>
                <w:rFonts w:ascii="宋体" w:hAnsi="宋体"/>
                <w:bCs/>
                <w:spacing w:val="0"/>
                <w:szCs w:val="21"/>
              </w:rPr>
              <w:t>T</w:t>
            </w:r>
            <w:r>
              <w:rPr>
                <w:rFonts w:hint="eastAsia" w:ascii="宋体" w:hAnsi="宋体"/>
                <w:bCs/>
                <w:spacing w:val="0"/>
                <w:szCs w:val="21"/>
              </w:rPr>
              <w:t>梁场应不少于</w:t>
            </w:r>
            <w:r>
              <w:rPr>
                <w:rFonts w:ascii="宋体" w:hAnsi="宋体"/>
                <w:bCs/>
                <w:spacing w:val="0"/>
                <w:szCs w:val="21"/>
              </w:rPr>
              <w:t xml:space="preserve">6人。 </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hint="eastAsia" w:ascii="宋体" w:hAnsi="宋体"/>
                <w:bCs/>
                <w:spacing w:val="0"/>
                <w:szCs w:val="21"/>
              </w:rPr>
              <w:t>③持证专职质检人员数量：应不少于</w:t>
            </w:r>
            <w:r>
              <w:rPr>
                <w:rFonts w:ascii="宋体" w:hAnsi="宋体"/>
                <w:bCs/>
                <w:spacing w:val="0"/>
                <w:szCs w:val="21"/>
              </w:rPr>
              <w:t>5人。</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hint="eastAsia" w:ascii="宋体" w:hAnsi="宋体"/>
                <w:bCs/>
                <w:spacing w:val="0"/>
                <w:szCs w:val="21"/>
              </w:rPr>
              <w:t>④现场观察检验人员进行进货检验、过程检验、出场（厂）检验，检</w:t>
            </w:r>
            <w:r>
              <w:rPr>
                <w:rFonts w:hint="eastAsia" w:ascii="宋体" w:hAnsi="宋体"/>
                <w:bCs/>
                <w:spacing w:val="0"/>
              </w:rPr>
              <w:t>验人员是否能够熟练操作，其操作是否符合检验规程，并正确作出判断。</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1.没有质检员、试验员任职条件或未经考核评价或未持证上岗，则判不符合；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2．检验检测人员操作均不正确，则判不符合。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hint="eastAsia" w:ascii="宋体" w:hAnsi="宋体"/>
                <w:bCs/>
                <w:color w:val="000000"/>
                <w:spacing w:val="0"/>
              </w:rPr>
              <w:t>3</w:t>
            </w:r>
            <w:r>
              <w:rPr>
                <w:rFonts w:ascii="宋体" w:hAnsi="宋体"/>
                <w:bCs/>
                <w:color w:val="000000"/>
                <w:spacing w:val="0"/>
              </w:rPr>
              <w:t>.</w:t>
            </w:r>
            <w:r>
              <w:rPr>
                <w:rFonts w:hint="eastAsia" w:ascii="宋体" w:hAnsi="宋体"/>
                <w:bCs/>
                <w:color w:val="000000"/>
                <w:spacing w:val="0"/>
              </w:rPr>
              <w:t xml:space="preserve"> 未持证或试验人员数量箱梁场少于</w:t>
            </w:r>
            <w:r>
              <w:rPr>
                <w:rFonts w:ascii="宋体" w:hAnsi="宋体"/>
                <w:bCs/>
                <w:color w:val="000000"/>
                <w:spacing w:val="0"/>
              </w:rPr>
              <w:t>8人</w:t>
            </w:r>
            <w:r>
              <w:rPr>
                <w:rFonts w:hint="eastAsia" w:ascii="宋体" w:hAnsi="宋体"/>
                <w:bCs/>
                <w:color w:val="000000"/>
                <w:spacing w:val="0"/>
              </w:rPr>
              <w:t>、</w:t>
            </w:r>
            <w:r>
              <w:rPr>
                <w:rFonts w:ascii="宋体" w:hAnsi="宋体"/>
                <w:bCs/>
                <w:color w:val="000000"/>
                <w:spacing w:val="0"/>
              </w:rPr>
              <w:t>T</w:t>
            </w:r>
            <w:r>
              <w:rPr>
                <w:rFonts w:hint="eastAsia" w:ascii="宋体" w:hAnsi="宋体"/>
                <w:bCs/>
                <w:color w:val="000000"/>
                <w:spacing w:val="0"/>
              </w:rPr>
              <w:t>梁场少于</w:t>
            </w:r>
            <w:r>
              <w:rPr>
                <w:rFonts w:ascii="宋体" w:hAnsi="宋体"/>
                <w:bCs/>
                <w:color w:val="000000"/>
                <w:spacing w:val="0"/>
              </w:rPr>
              <w:t>6</w:t>
            </w:r>
            <w:r>
              <w:rPr>
                <w:rFonts w:hint="eastAsia" w:ascii="宋体" w:hAnsi="宋体"/>
                <w:bCs/>
                <w:color w:val="000000"/>
                <w:spacing w:val="0"/>
              </w:rPr>
              <w:t>人或质检人员数量少于</w:t>
            </w:r>
            <w:r>
              <w:rPr>
                <w:rFonts w:ascii="宋体" w:hAnsi="宋体"/>
                <w:bCs/>
                <w:color w:val="000000"/>
                <w:spacing w:val="0"/>
              </w:rPr>
              <w:t>5人，则判不符合</w:t>
            </w:r>
            <w:r>
              <w:rPr>
                <w:rFonts w:hint="eastAsia" w:ascii="宋体" w:hAnsi="宋体"/>
                <w:bCs/>
                <w:color w:val="000000"/>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44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ind w:hanging="8"/>
              <w:jc w:val="center"/>
              <w:textAlignment w:val="auto"/>
              <w:outlineLvl w:val="9"/>
              <w:rPr>
                <w:rFonts w:ascii="宋体" w:hAnsi="宋体"/>
                <w:bCs/>
                <w:color w:val="000000"/>
                <w:spacing w:val="0"/>
              </w:rPr>
            </w:pPr>
            <w:r>
              <w:rPr>
                <w:rFonts w:hint="eastAsia" w:ascii="宋体" w:hAnsi="宋体"/>
                <w:bCs/>
                <w:color w:val="000000"/>
                <w:spacing w:val="0"/>
              </w:rPr>
              <w:t>2.3</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hint="eastAsia" w:ascii="宋体" w:hAnsi="宋体"/>
                <w:bCs/>
                <w:color w:val="000000"/>
                <w:spacing w:val="0"/>
              </w:rPr>
            </w:pPr>
            <w:r>
              <w:rPr>
                <w:rFonts w:hint="eastAsia" w:ascii="宋体" w:hAnsi="宋体"/>
                <w:bCs/>
                <w:color w:val="000000"/>
                <w:spacing w:val="0"/>
              </w:rPr>
              <w:t>操作</w:t>
            </w:r>
          </w:p>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工人</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rPr>
            </w:pPr>
            <w:r>
              <w:rPr>
                <w:rFonts w:hint="eastAsia" w:ascii="宋体" w:hAnsi="宋体"/>
                <w:bCs/>
                <w:spacing w:val="0"/>
              </w:rPr>
              <w:t>8）</w:t>
            </w:r>
            <w:r>
              <w:rPr>
                <w:rFonts w:hint="eastAsia" w:ascii="宋体" w:hAnsi="宋体"/>
                <w:bCs/>
                <w:spacing w:val="0"/>
                <w:szCs w:val="21"/>
              </w:rPr>
              <w:t>是否满足操作要求。</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hint="eastAsia" w:ascii="宋体" w:hAnsi="宋体"/>
                <w:bCs/>
                <w:spacing w:val="0"/>
                <w:szCs w:val="21"/>
              </w:rPr>
              <w:t>①能看懂相关标准、图纸和工艺文件。</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spacing w:val="0"/>
                <w:szCs w:val="21"/>
              </w:rPr>
            </w:pPr>
            <w:r>
              <w:rPr>
                <w:rFonts w:hint="eastAsia" w:ascii="宋体" w:hAnsi="宋体"/>
                <w:bCs/>
                <w:spacing w:val="0"/>
                <w:szCs w:val="21"/>
              </w:rPr>
              <w:t>②</w:t>
            </w:r>
            <w:r>
              <w:rPr>
                <w:rFonts w:ascii="宋体" w:hAnsi="宋体"/>
                <w:bCs/>
                <w:spacing w:val="0"/>
                <w:szCs w:val="21"/>
              </w:rPr>
              <w:t>法律法规有规定必须持证上岗</w:t>
            </w:r>
            <w:r>
              <w:rPr>
                <w:rFonts w:hint="eastAsia" w:ascii="宋体" w:hAnsi="宋体"/>
                <w:bCs/>
                <w:spacing w:val="0"/>
                <w:szCs w:val="21"/>
              </w:rPr>
              <w:t>的</w:t>
            </w:r>
            <w:r>
              <w:rPr>
                <w:rFonts w:ascii="宋体" w:hAnsi="宋体"/>
                <w:bCs/>
                <w:spacing w:val="0"/>
                <w:szCs w:val="21"/>
              </w:rPr>
              <w:t>人员</w:t>
            </w:r>
            <w:r>
              <w:rPr>
                <w:rFonts w:hint="eastAsia" w:ascii="宋体" w:hAnsi="宋体"/>
                <w:bCs/>
                <w:spacing w:val="0"/>
                <w:szCs w:val="21"/>
              </w:rPr>
              <w:t>应持证</w:t>
            </w:r>
            <w:r>
              <w:rPr>
                <w:rFonts w:ascii="宋体" w:hAnsi="宋体"/>
                <w:bCs/>
                <w:spacing w:val="0"/>
                <w:szCs w:val="21"/>
              </w:rPr>
              <w:t>上岗。</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spacing w:val="0"/>
              </w:rPr>
              <w:t>③现场</w:t>
            </w:r>
            <w:r>
              <w:rPr>
                <w:rFonts w:ascii="宋体" w:hAnsi="宋体"/>
                <w:bCs/>
                <w:spacing w:val="0"/>
                <w:szCs w:val="21"/>
              </w:rPr>
              <w:t>抽查</w:t>
            </w:r>
            <w:r>
              <w:rPr>
                <w:rFonts w:hint="eastAsia" w:ascii="宋体" w:hAnsi="宋体"/>
                <w:bCs/>
                <w:spacing w:val="0"/>
                <w:szCs w:val="21"/>
              </w:rPr>
              <w:t>混凝土浇筑、预应力张拉、压浆、桥面防水层施工等关键、特殊工序的生产操作情况，考核工人是否掌握应知应会和工艺要求并能熟练的操作，其操作应符合技术工艺文件的规定。</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outlineLvl w:val="9"/>
              <w:rPr>
                <w:rFonts w:ascii="宋体" w:hAnsi="宋体"/>
                <w:bCs/>
                <w:color w:val="000000"/>
                <w:spacing w:val="0"/>
              </w:rPr>
            </w:pPr>
            <w:r>
              <w:rPr>
                <w:rFonts w:hint="eastAsia" w:ascii="宋体" w:hAnsi="宋体"/>
                <w:bCs/>
                <w:color w:val="000000"/>
                <w:spacing w:val="0"/>
              </w:rPr>
              <w:t>钢筋加工及绑扎、混凝土拌合及灌注、预应力张拉、压浆、桥面防水层施工工人操作均不正确，则判不符合。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70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
                <w:bCs/>
                <w:color w:val="000000"/>
                <w:spacing w:val="0"/>
              </w:rPr>
            </w:pPr>
            <w:r>
              <w:rPr>
                <w:rFonts w:hint="eastAsia" w:ascii="宋体" w:hAnsi="宋体"/>
                <w:b/>
                <w:bCs/>
                <w:color w:val="000000"/>
                <w:spacing w:val="0"/>
              </w:rPr>
              <w:t>3</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color w:val="000000"/>
                <w:spacing w:val="0"/>
              </w:rPr>
              <w:t>生产和检验设施设备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98" w:hRule="atLeast"/>
          <w:jc w:val="center"/>
        </w:trPr>
        <w:tc>
          <w:tcPr>
            <w:tcW w:w="76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3.1</w:t>
            </w:r>
          </w:p>
        </w:tc>
        <w:tc>
          <w:tcPr>
            <w:tcW w:w="7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宋体" w:hAnsi="宋体"/>
                <w:bCs/>
                <w:color w:val="000000"/>
                <w:spacing w:val="0"/>
              </w:rPr>
            </w:pPr>
            <w:r>
              <w:rPr>
                <w:rFonts w:hint="eastAsia" w:ascii="宋体" w:hAnsi="宋体"/>
                <w:bCs/>
                <w:color w:val="000000"/>
                <w:spacing w:val="0"/>
              </w:rPr>
              <w:t>基础</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设施</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9）是否具备满足其生产、检验所需的工作场所和设施，并运行正常。</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①</w:t>
            </w:r>
            <w:r>
              <w:rPr>
                <w:rFonts w:ascii="宋体" w:hAnsi="宋体"/>
                <w:spacing w:val="0"/>
                <w:szCs w:val="21"/>
              </w:rPr>
              <w:t>制梁场</w:t>
            </w:r>
            <w:r>
              <w:rPr>
                <w:rFonts w:hint="eastAsia" w:ascii="宋体" w:hAnsi="宋体"/>
                <w:spacing w:val="0"/>
                <w:szCs w:val="21"/>
              </w:rPr>
              <w:t>应具备细则表</w:t>
            </w:r>
            <w:r>
              <w:rPr>
                <w:rFonts w:ascii="宋体" w:hAnsi="宋体"/>
                <w:spacing w:val="0"/>
                <w:szCs w:val="21"/>
              </w:rPr>
              <w:t>3-1</w:t>
            </w:r>
            <w:r>
              <w:rPr>
                <w:rFonts w:hint="eastAsia" w:ascii="宋体" w:hAnsi="宋体"/>
                <w:spacing w:val="0"/>
                <w:szCs w:val="21"/>
              </w:rPr>
              <w:t>中</w:t>
            </w:r>
            <w:r>
              <w:rPr>
                <w:rFonts w:ascii="宋体" w:hAnsi="宋体"/>
                <w:spacing w:val="0"/>
                <w:szCs w:val="21"/>
              </w:rPr>
              <w:t>规定</w:t>
            </w:r>
            <w:r>
              <w:rPr>
                <w:rFonts w:hint="eastAsia" w:ascii="宋体" w:hAnsi="宋体"/>
                <w:spacing w:val="0"/>
                <w:szCs w:val="21"/>
              </w:rPr>
              <w:t>的</w:t>
            </w:r>
            <w:r>
              <w:rPr>
                <w:rFonts w:ascii="宋体" w:hAnsi="宋体"/>
                <w:spacing w:val="0"/>
                <w:szCs w:val="21"/>
              </w:rPr>
              <w:t>、</w:t>
            </w:r>
            <w:r>
              <w:rPr>
                <w:rFonts w:hint="eastAsia" w:ascii="宋体" w:hAnsi="宋体"/>
                <w:spacing w:val="0"/>
                <w:szCs w:val="21"/>
              </w:rPr>
              <w:t>满足其生产所需的工作场所和设施，且满足施工进度要求及质量要求</w:t>
            </w:r>
            <w:r>
              <w:rPr>
                <w:rFonts w:hint="eastAsia" w:ascii="宋体" w:hAnsi="宋体"/>
                <w:bCs/>
                <w:spacing w:val="0"/>
              </w:rPr>
              <w:t>并运行正常</w:t>
            </w:r>
            <w:r>
              <w:rPr>
                <w:rFonts w:hint="eastAsia" w:ascii="宋体" w:hAnsi="宋体"/>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②</w:t>
            </w:r>
            <w:r>
              <w:rPr>
                <w:rFonts w:hint="eastAsia" w:ascii="宋体" w:hAnsi="宋体"/>
                <w:spacing w:val="0"/>
                <w:szCs w:val="21"/>
              </w:rPr>
              <w:t>应具备细则表</w:t>
            </w:r>
            <w:r>
              <w:rPr>
                <w:rFonts w:ascii="宋体" w:hAnsi="宋体"/>
                <w:spacing w:val="0"/>
                <w:szCs w:val="21"/>
              </w:rPr>
              <w:t>3-1</w:t>
            </w:r>
            <w:r>
              <w:rPr>
                <w:rFonts w:hint="eastAsia" w:ascii="宋体" w:hAnsi="宋体"/>
                <w:spacing w:val="0"/>
                <w:szCs w:val="21"/>
              </w:rPr>
              <w:t>中</w:t>
            </w:r>
            <w:r>
              <w:rPr>
                <w:rFonts w:ascii="宋体" w:hAnsi="宋体"/>
                <w:spacing w:val="0"/>
                <w:szCs w:val="21"/>
              </w:rPr>
              <w:t>规定</w:t>
            </w:r>
            <w:r>
              <w:rPr>
                <w:rFonts w:hint="eastAsia" w:ascii="宋体" w:hAnsi="宋体"/>
                <w:spacing w:val="0"/>
                <w:szCs w:val="21"/>
              </w:rPr>
              <w:t>的</w:t>
            </w:r>
            <w:r>
              <w:rPr>
                <w:rFonts w:ascii="宋体" w:hAnsi="宋体"/>
                <w:spacing w:val="0"/>
                <w:szCs w:val="21"/>
              </w:rPr>
              <w:t>、</w:t>
            </w:r>
            <w:r>
              <w:rPr>
                <w:rFonts w:hint="eastAsia" w:ascii="宋体" w:hAnsi="宋体"/>
                <w:spacing w:val="0"/>
                <w:szCs w:val="21"/>
              </w:rPr>
              <w:t>满足其主要原材料进货检验、生产过程检验、成品出场（厂）检验所需的工作场所和设施</w:t>
            </w:r>
            <w:r>
              <w:rPr>
                <w:rFonts w:hint="eastAsia" w:ascii="宋体" w:hAnsi="宋体"/>
                <w:bCs/>
                <w:spacing w:val="0"/>
              </w:rPr>
              <w:t>并运行正常。</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1.核查内容10）款为“否”，则结论为不符合；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 建议改进选项仅适用于核查内容11）款维护和运行情形。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519" w:hRule="atLeast"/>
          <w:jc w:val="center"/>
        </w:trPr>
        <w:tc>
          <w:tcPr>
            <w:tcW w:w="7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p>
        </w:tc>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
                <w:bCs/>
                <w:spacing w:val="0"/>
              </w:rPr>
            </w:pPr>
            <w:r>
              <w:rPr>
                <w:rFonts w:hint="eastAsia" w:ascii="宋体" w:hAnsi="宋体"/>
                <w:bCs/>
                <w:color w:val="000000"/>
                <w:spacing w:val="0"/>
              </w:rPr>
              <w:t>10）生产和检验设施是否维护完好</w:t>
            </w:r>
            <w:r>
              <w:rPr>
                <w:rFonts w:hint="eastAsia" w:ascii="宋体" w:hAnsi="宋体"/>
                <w:bCs/>
                <w:spacing w:val="0"/>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 w:val="24"/>
                <w:szCs w:val="21"/>
              </w:rPr>
            </w:pPr>
            <w:r>
              <w:rPr>
                <w:rFonts w:hint="eastAsia" w:ascii="宋体" w:hAnsi="宋体"/>
                <w:spacing w:val="0"/>
                <w:szCs w:val="21"/>
              </w:rPr>
              <w:t>①场地布局合理，车间整洁明亮，道路平坦畅通。</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②混凝土试件养护室的保温效果应满足要求、容积应满足施工进度所需的要求。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spacing w:val="0"/>
                <w:szCs w:val="21"/>
              </w:rPr>
              <w:t>③试验室的温、湿度满足试验方法的要求。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c>
          <w:tcPr>
            <w:tcW w:w="28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550" w:hRule="atLeast"/>
          <w:jc w:val="center"/>
        </w:trPr>
        <w:tc>
          <w:tcPr>
            <w:tcW w:w="76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ascii="宋体" w:hAnsi="宋体"/>
                <w:bCs/>
                <w:color w:val="000000"/>
                <w:spacing w:val="0"/>
              </w:rPr>
            </w:pPr>
            <w:r>
              <w:rPr>
                <w:rFonts w:hint="eastAsia" w:ascii="宋体" w:hAnsi="宋体"/>
                <w:bCs/>
                <w:color w:val="000000"/>
                <w:spacing w:val="0"/>
              </w:rPr>
              <w:t>3.2</w:t>
            </w:r>
          </w:p>
        </w:tc>
        <w:tc>
          <w:tcPr>
            <w:tcW w:w="7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宋体" w:hAnsi="宋体"/>
                <w:bCs/>
                <w:color w:val="000000"/>
                <w:spacing w:val="0"/>
              </w:rPr>
            </w:pPr>
            <w:r>
              <w:rPr>
                <w:rFonts w:hint="eastAsia" w:ascii="宋体" w:hAnsi="宋体"/>
                <w:bCs/>
                <w:color w:val="000000"/>
                <w:spacing w:val="0"/>
              </w:rPr>
              <w:t>设备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工装</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11）</w:t>
            </w:r>
            <w:r>
              <w:rPr>
                <w:rFonts w:hint="eastAsia" w:ascii="宋体" w:hAnsi="宋体"/>
                <w:spacing w:val="0"/>
                <w:szCs w:val="21"/>
              </w:rPr>
              <w:t>生产设备及工艺装备是否满足要求，</w:t>
            </w:r>
            <w:r>
              <w:rPr>
                <w:rFonts w:hint="eastAsia" w:ascii="宋体" w:hAnsi="宋体"/>
                <w:bCs/>
                <w:color w:val="000000"/>
                <w:spacing w:val="0"/>
              </w:rPr>
              <w:t>并运行正常</w:t>
            </w:r>
            <w:r>
              <w:rPr>
                <w:rFonts w:hint="eastAsia" w:ascii="宋体" w:hAnsi="宋体"/>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
                <w:bCs/>
                <w:spacing w:val="0"/>
              </w:rPr>
            </w:pPr>
            <w:r>
              <w:rPr>
                <w:rFonts w:hint="eastAsia" w:ascii="宋体" w:hAnsi="宋体"/>
                <w:spacing w:val="0"/>
                <w:szCs w:val="21"/>
              </w:rPr>
              <w:t>①企业应具有细则表</w:t>
            </w:r>
            <w:r>
              <w:rPr>
                <w:rFonts w:ascii="宋体" w:hAnsi="宋体"/>
                <w:spacing w:val="0"/>
                <w:szCs w:val="21"/>
              </w:rPr>
              <w:t>3-</w:t>
            </w:r>
            <w:r>
              <w:rPr>
                <w:rFonts w:hint="eastAsia" w:ascii="宋体" w:hAnsi="宋体"/>
                <w:spacing w:val="0"/>
                <w:szCs w:val="21"/>
              </w:rPr>
              <w:t>2中</w:t>
            </w:r>
            <w:r>
              <w:rPr>
                <w:rFonts w:ascii="宋体" w:hAnsi="宋体"/>
                <w:spacing w:val="0"/>
                <w:szCs w:val="21"/>
              </w:rPr>
              <w:t>规定</w:t>
            </w:r>
            <w:r>
              <w:rPr>
                <w:rFonts w:hint="eastAsia" w:ascii="宋体" w:hAnsi="宋体"/>
                <w:spacing w:val="0"/>
                <w:szCs w:val="21"/>
              </w:rPr>
              <w:t>的</w:t>
            </w:r>
            <w:r>
              <w:rPr>
                <w:rFonts w:ascii="宋体" w:hAnsi="宋体"/>
                <w:spacing w:val="0"/>
                <w:szCs w:val="21"/>
              </w:rPr>
              <w:t>、</w:t>
            </w:r>
            <w:r>
              <w:rPr>
                <w:rFonts w:hint="eastAsia" w:ascii="宋体" w:hAnsi="宋体"/>
                <w:spacing w:val="0"/>
                <w:szCs w:val="21"/>
              </w:rPr>
              <w:t>与其产品、生产工艺及生产方式相适应的生产设备和工艺装备。</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②</w:t>
            </w:r>
            <w:r>
              <w:rPr>
                <w:rFonts w:ascii="宋体" w:hAnsi="宋体"/>
                <w:bCs/>
                <w:spacing w:val="0"/>
              </w:rPr>
              <w:t>企业自有设备应提供设备的采购证明文件。</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③</w:t>
            </w:r>
            <w:r>
              <w:rPr>
                <w:rFonts w:ascii="宋体" w:hAnsi="宋体"/>
                <w:bCs/>
                <w:spacing w:val="0"/>
              </w:rPr>
              <w:t>上级调拨设备应提供上级单位的调拨单。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④允许租赁的设备和工装应提供租赁合同。</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FF0000"/>
                <w:spacing w:val="0"/>
              </w:rPr>
            </w:pPr>
            <w:r>
              <w:rPr>
                <w:rFonts w:hint="eastAsia" w:ascii="宋体" w:hAnsi="宋体"/>
                <w:bCs/>
                <w:spacing w:val="0"/>
              </w:rPr>
              <w:t>⑤关键工序的施工、生产设备及工装性能、精度指标应满足标准规范中规定的相应技术参数要求。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1.核查内容12）款为“否”，则结论为不符合；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2.建议改进选项仅适用于</w:t>
            </w:r>
            <w:r>
              <w:rPr>
                <w:rFonts w:ascii="宋体" w:hAnsi="宋体"/>
                <w:bCs/>
                <w:color w:val="000000"/>
                <w:spacing w:val="0"/>
              </w:rPr>
              <w:t>1</w:t>
            </w:r>
            <w:r>
              <w:rPr>
                <w:rFonts w:hint="eastAsia" w:ascii="宋体" w:hAnsi="宋体"/>
                <w:bCs/>
                <w:color w:val="000000"/>
                <w:spacing w:val="0"/>
              </w:rPr>
              <w:t>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550" w:hRule="atLeast"/>
          <w:jc w:val="center"/>
        </w:trPr>
        <w:tc>
          <w:tcPr>
            <w:tcW w:w="7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ascii="宋体" w:hAnsi="宋体"/>
                <w:bCs/>
                <w:color w:val="000000"/>
                <w:spacing w:val="0"/>
              </w:rPr>
            </w:pPr>
          </w:p>
        </w:tc>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ascii="宋体" w:hAnsi="宋体"/>
                <w:bCs/>
                <w:spacing w:val="0"/>
                <w:szCs w:val="21"/>
              </w:rPr>
              <w:t>1</w:t>
            </w:r>
            <w:r>
              <w:rPr>
                <w:rFonts w:hint="eastAsia" w:ascii="宋体" w:hAnsi="宋体"/>
                <w:bCs/>
                <w:spacing w:val="0"/>
                <w:szCs w:val="21"/>
              </w:rPr>
              <w:t>2）设备、工装的维护是否满足要求。</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①梁厂（场）应建有设备、工装管理制度；生产设备和工艺装备应维护完好，运行正常。</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②设备管理制度应包括：购置、安装、验收、使用、维修、报废及技术改造、台帐、档案管理等项要求。</w:t>
            </w:r>
          </w:p>
          <w:p>
            <w:pPr>
              <w:keepNext w:val="0"/>
              <w:keepLines w:val="0"/>
              <w:pageBreakBefore w:val="0"/>
              <w:widowControl w:val="0"/>
              <w:kinsoku/>
              <w:wordWrap/>
              <w:overflowPunct/>
              <w:topLinePunct w:val="0"/>
              <w:autoSpaceDE/>
              <w:autoSpaceDN/>
              <w:bidi w:val="0"/>
              <w:spacing w:line="350" w:lineRule="exact"/>
              <w:textAlignment w:val="auto"/>
              <w:outlineLvl w:val="9"/>
              <w:rPr>
                <w:rFonts w:ascii="宋体" w:hAnsi="宋体"/>
                <w:bCs/>
                <w:spacing w:val="0"/>
                <w:szCs w:val="21"/>
              </w:rPr>
            </w:pPr>
            <w:r>
              <w:rPr>
                <w:rFonts w:hint="eastAsia" w:ascii="宋体" w:hAnsi="宋体"/>
                <w:bCs/>
                <w:spacing w:val="0"/>
                <w:szCs w:val="21"/>
              </w:rPr>
              <w:t>③重点考核制度的执行情况，设备台帐、履历、档案应符合相应管理办法规定；设备性能应能满足要求，以保持稳定的生产能力和工序质量控制。</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④检查设备维护和保养计划及实施的记录，确认设备的维修保养及完好状况。</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⑤工装管理制度应包括：台座、模板及各种胎卡具的设计、制造、验收、使用、检查、维修等项要求。</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⑥检查是否能认真履行模板验收程序，进行分扇及整拼检查验收。外形尺寸、密合性、激振力等主项不合格，不得投入使用。</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⑦应严格执行模板日常检查、维修规定，且检修记录齐全，能保持模板始终处于良好状态。</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⑧工装（钢模板、胎卡具、制梁台座、存梁台座）台帐、图纸和验收资料应齐全，胎卡具定位应准确。</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szCs w:val="21"/>
              </w:rPr>
            </w:pPr>
            <w:r>
              <w:rPr>
                <w:rFonts w:hint="eastAsia" w:ascii="宋体" w:hAnsi="宋体"/>
                <w:bCs/>
                <w:spacing w:val="0"/>
                <w:szCs w:val="21"/>
              </w:rPr>
              <w:t>⑨先张梁台座应设计合理、有足够的刚度，结构稳定安全,设计资料及验收资料齐全。</w:t>
            </w:r>
          </w:p>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spacing w:val="0"/>
              </w:rPr>
            </w:pPr>
            <w:r>
              <w:rPr>
                <w:rFonts w:hint="eastAsia" w:ascii="宋体" w:hAnsi="宋体"/>
                <w:bCs/>
                <w:spacing w:val="0"/>
                <w:szCs w:val="21"/>
              </w:rPr>
              <w:t>⑩存梁台座、滑道应基础牢固，能保证滑移、存放状态符合标准要求。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color w:val="000000"/>
                <w:spacing w:val="0"/>
              </w:rPr>
            </w:pPr>
          </w:p>
        </w:tc>
        <w:tc>
          <w:tcPr>
            <w:tcW w:w="28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082" w:hRule="atLeast"/>
          <w:jc w:val="center"/>
        </w:trPr>
        <w:tc>
          <w:tcPr>
            <w:tcW w:w="76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3.3</w:t>
            </w:r>
          </w:p>
        </w:tc>
        <w:tc>
          <w:tcPr>
            <w:tcW w:w="7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宋体" w:hAnsi="宋体"/>
                <w:bCs/>
                <w:color w:val="000000"/>
                <w:spacing w:val="0"/>
              </w:rPr>
            </w:pPr>
            <w:r>
              <w:rPr>
                <w:rFonts w:hint="eastAsia" w:ascii="宋体" w:hAnsi="宋体"/>
                <w:bCs/>
                <w:color w:val="000000"/>
                <w:spacing w:val="0"/>
              </w:rPr>
              <w:t>检验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设备</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13）检验设备是否满足要求。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①企业是应具有细则</w:t>
            </w:r>
            <w:r>
              <w:rPr>
                <w:rFonts w:hint="eastAsia" w:ascii="宋体" w:hAnsi="宋体"/>
                <w:spacing w:val="0"/>
                <w:szCs w:val="21"/>
              </w:rPr>
              <w:t>表</w:t>
            </w:r>
            <w:r>
              <w:rPr>
                <w:rFonts w:ascii="宋体" w:hAnsi="宋体"/>
                <w:spacing w:val="0"/>
                <w:szCs w:val="21"/>
              </w:rPr>
              <w:t>3-</w:t>
            </w:r>
            <w:r>
              <w:rPr>
                <w:rFonts w:hint="eastAsia" w:ascii="宋体" w:hAnsi="宋体"/>
                <w:spacing w:val="0"/>
                <w:szCs w:val="21"/>
              </w:rPr>
              <w:t>3</w:t>
            </w:r>
            <w:r>
              <w:rPr>
                <w:rFonts w:hint="eastAsia" w:ascii="宋体" w:hAnsi="宋体"/>
                <w:bCs/>
                <w:color w:val="000000"/>
                <w:spacing w:val="0"/>
              </w:rPr>
              <w:t>中规定的、与其生产产品、生产工艺及生产方式相适应的采购关键原材料进货检验、生产过程检验、出场（厂）检验所需的检验仪器设备。</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color w:val="000000"/>
                <w:spacing w:val="0"/>
              </w:rPr>
              <w:t>②检验仪器设备的性能和精度应能满足相关标</w:t>
            </w:r>
            <w:r>
              <w:rPr>
                <w:rFonts w:hint="eastAsia" w:ascii="宋体" w:hAnsi="宋体"/>
                <w:bCs/>
                <w:spacing w:val="0"/>
              </w:rPr>
              <w:t>准规定的检验要求；并在检定或校准有效期内使用。</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ascii="宋体" w:hAnsi="宋体"/>
                <w:spacing w:val="0"/>
                <w:szCs w:val="21"/>
              </w:rPr>
              <w:t>③</w:t>
            </w:r>
            <w:r>
              <w:rPr>
                <w:rFonts w:hint="eastAsia" w:ascii="宋体" w:hAnsi="宋体"/>
                <w:spacing w:val="0"/>
                <w:szCs w:val="21"/>
              </w:rPr>
              <w:t>换证企业的计量检定证书应连续有效，不得断档。</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spacing w:val="0"/>
                <w:szCs w:val="21"/>
              </w:rPr>
              <w:t>④</w:t>
            </w:r>
            <w:r>
              <w:rPr>
                <w:rFonts w:hint="eastAsia" w:ascii="宋体" w:hAnsi="宋体"/>
                <w:bCs/>
                <w:spacing w:val="0"/>
              </w:rPr>
              <w:t>企业自有设备应提供设备的采购证明文件。</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⑤</w:t>
            </w:r>
            <w:r>
              <w:rPr>
                <w:rFonts w:hint="eastAsia" w:ascii="宋体" w:hAnsi="宋体"/>
                <w:bCs/>
                <w:spacing w:val="0"/>
              </w:rPr>
              <w:t>上级调拨设备应提供上级单位的调拨单。</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1.核查内容14）款为“否”，则结论为不符合；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 建议改进选项仅适用于15）款。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082" w:hRule="atLeast"/>
          <w:jc w:val="center"/>
        </w:trPr>
        <w:tc>
          <w:tcPr>
            <w:tcW w:w="7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p>
        </w:tc>
        <w:tc>
          <w:tcPr>
            <w:tcW w:w="72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14）检验仪器设备维护是否满足要求。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①检验仪器设备是否维护完好，运行正常，</w:t>
            </w:r>
            <w:r>
              <w:rPr>
                <w:rFonts w:hint="eastAsia" w:ascii="宋体" w:hAnsi="宋体"/>
                <w:bCs/>
                <w:spacing w:val="0"/>
                <w:szCs w:val="21"/>
              </w:rPr>
              <w:t>并在计量器具上贴有国家或行业规定的状态标识。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bCs/>
                <w:spacing w:val="0"/>
              </w:rPr>
              <w:t>②</w:t>
            </w:r>
            <w:r>
              <w:rPr>
                <w:rFonts w:ascii="宋体" w:hAnsi="宋体"/>
                <w:spacing w:val="0"/>
                <w:szCs w:val="21"/>
              </w:rPr>
              <w:t>企业应有完善的计量设备、器具管理制度和检定制度，并能对全部测量系统实行有效的控制，以确保根据测量数据所作出的决策(</w:t>
            </w:r>
            <w:r>
              <w:rPr>
                <w:rFonts w:hint="eastAsia" w:ascii="宋体" w:hAnsi="宋体"/>
                <w:spacing w:val="0"/>
                <w:szCs w:val="21"/>
              </w:rPr>
              <w:t>活动</w:t>
            </w:r>
            <w:r>
              <w:rPr>
                <w:rFonts w:ascii="宋体" w:hAnsi="宋体"/>
                <w:spacing w:val="0"/>
                <w:szCs w:val="21"/>
              </w:rPr>
              <w:t>)</w:t>
            </w:r>
            <w:r>
              <w:rPr>
                <w:rFonts w:hint="eastAsia" w:ascii="宋体" w:hAnsi="宋体"/>
                <w:spacing w:val="0"/>
                <w:szCs w:val="21"/>
              </w:rPr>
              <w:t>的正确性。</w:t>
            </w:r>
          </w:p>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spacing w:val="0"/>
                <w:szCs w:val="21"/>
              </w:rPr>
            </w:pPr>
            <w:r>
              <w:rPr>
                <w:rFonts w:hint="eastAsia" w:ascii="宋体" w:hAnsi="宋体"/>
                <w:spacing w:val="0"/>
                <w:szCs w:val="21"/>
              </w:rPr>
              <w:t>③检定制度的实施记载，应能追溯到准确度已知和具有稳定性的基准，以确认其偏移和精密度是否符合规定要求。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④应对校准结果进行适用性评价。</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⑤梁场应任命一人为专职（或兼职）计量管理员，统管全场的计量工作。</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spacing w:val="0"/>
                <w:szCs w:val="21"/>
              </w:rPr>
              <w:t>⑥计量器具台帐、检定周期表、送检计划应符合要求。</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c>
          <w:tcPr>
            <w:tcW w:w="28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706"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
                <w:bCs/>
                <w:color w:val="000000"/>
                <w:spacing w:val="0"/>
              </w:rPr>
            </w:pPr>
            <w:r>
              <w:rPr>
                <w:rFonts w:hint="eastAsia" w:ascii="宋体" w:hAnsi="宋体"/>
                <w:b/>
                <w:bCs/>
                <w:color w:val="000000"/>
                <w:spacing w:val="0"/>
              </w:rPr>
              <w:t>4</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color w:val="000000"/>
                <w:spacing w:val="0"/>
              </w:rPr>
              <w:t>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43"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4.1</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工艺</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流程</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15）工艺流程图是否与其生产实际相吻合。</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核查内容17）为否，可判为建议改进。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643"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16）是否标明关键工序、质量控制点、特殊过程。</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0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272"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4.2</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技术</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ascii="宋体" w:hAnsi="宋体"/>
                <w:bCs/>
                <w:color w:val="000000"/>
                <w:spacing w:val="0"/>
              </w:rPr>
            </w:pPr>
            <w:r>
              <w:rPr>
                <w:rFonts w:hint="eastAsia" w:ascii="宋体" w:hAnsi="宋体"/>
                <w:bCs/>
                <w:color w:val="000000"/>
                <w:spacing w:val="0"/>
              </w:rPr>
              <w:t>工艺</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Cs/>
                <w:color w:val="000000"/>
                <w:spacing w:val="0"/>
              </w:rPr>
            </w:pPr>
            <w:r>
              <w:rPr>
                <w:rFonts w:hint="eastAsia" w:ascii="宋体" w:hAnsi="宋体"/>
                <w:bCs/>
                <w:color w:val="000000"/>
                <w:spacing w:val="0"/>
              </w:rPr>
              <w:t>文件</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color w:val="000000"/>
                <w:spacing w:val="0"/>
              </w:rPr>
            </w:pPr>
            <w:r>
              <w:rPr>
                <w:rFonts w:hint="eastAsia" w:ascii="宋体" w:hAnsi="宋体"/>
                <w:bCs/>
                <w:color w:val="000000"/>
                <w:spacing w:val="0"/>
              </w:rPr>
              <w:t>17）对于本办法4.1中识别和确认的关键工序、质量控制点、特殊过程，现场核查每一关键工序、质量控制点、特殊过程，是否编制有相关技术工艺文件。</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spacing w:val="0"/>
              </w:rPr>
            </w:pPr>
            <w:r>
              <w:rPr>
                <w:rFonts w:hint="eastAsia" w:ascii="宋体" w:hAnsi="宋体"/>
                <w:bCs/>
                <w:spacing w:val="0"/>
              </w:rPr>
              <w:t>①应具备现行有效的产品标准和</w:t>
            </w:r>
            <w:r>
              <w:rPr>
                <w:rFonts w:hint="eastAsia" w:ascii="宋体" w:hAnsi="宋体"/>
                <w:bCs/>
                <w:spacing w:val="0"/>
                <w:szCs w:val="21"/>
              </w:rPr>
              <w:t>与申请取证产品适用的</w:t>
            </w:r>
            <w:r>
              <w:rPr>
                <w:rFonts w:hint="eastAsia" w:ascii="宋体" w:hAnsi="宋体"/>
                <w:bCs/>
                <w:spacing w:val="0"/>
              </w:rPr>
              <w:t>相关标准。</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40" w:lineRule="exact"/>
              <w:textAlignment w:val="auto"/>
              <w:outlineLvl w:val="9"/>
              <w:rPr>
                <w:rFonts w:ascii="宋体" w:hAnsi="宋体"/>
                <w:spacing w:val="0"/>
                <w:szCs w:val="21"/>
              </w:rPr>
            </w:pPr>
            <w:r>
              <w:rPr>
                <w:rFonts w:hint="eastAsia" w:ascii="宋体" w:hAnsi="宋体"/>
                <w:spacing w:val="0"/>
                <w:szCs w:val="21"/>
              </w:rPr>
              <w:t>②应具备完整的符合铁路标准图、通用图相关要求的产品设计图纸（原图及其相关附图）。</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40" w:lineRule="exact"/>
              <w:textAlignment w:val="auto"/>
              <w:outlineLvl w:val="9"/>
              <w:rPr>
                <w:rFonts w:ascii="宋体" w:hAnsi="宋体"/>
                <w:bCs/>
                <w:spacing w:val="0"/>
              </w:rPr>
            </w:pPr>
            <w:r>
              <w:rPr>
                <w:rFonts w:hint="eastAsia" w:ascii="宋体" w:hAnsi="宋体"/>
                <w:bCs/>
                <w:spacing w:val="0"/>
              </w:rPr>
              <w:t>③</w:t>
            </w:r>
            <w:r>
              <w:rPr>
                <w:rFonts w:hint="eastAsia" w:ascii="宋体" w:hAnsi="宋体"/>
                <w:bCs/>
                <w:spacing w:val="0"/>
                <w:szCs w:val="21"/>
              </w:rPr>
              <w:t>应具有</w:t>
            </w:r>
            <w:r>
              <w:rPr>
                <w:rFonts w:ascii="宋体" w:hAnsi="宋体"/>
                <w:spacing w:val="0"/>
                <w:szCs w:val="21"/>
              </w:rPr>
              <w:t>设计单位技术交底、工程甲方咨询答疑、变更通知等所有相关设计文件</w:t>
            </w:r>
            <w:r>
              <w:rPr>
                <w:rFonts w:hint="eastAsia" w:ascii="宋体" w:hAnsi="宋体"/>
                <w:bCs/>
                <w:spacing w:val="0"/>
                <w:szCs w:val="21"/>
              </w:rPr>
              <w:t>。</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spacing w:val="0"/>
              </w:rPr>
            </w:pPr>
            <w:r>
              <w:rPr>
                <w:rFonts w:hint="eastAsia" w:ascii="宋体" w:hAnsi="宋体"/>
                <w:bCs/>
                <w:spacing w:val="0"/>
              </w:rPr>
              <w:t>④应制定</w:t>
            </w:r>
            <w:r>
              <w:rPr>
                <w:rFonts w:hint="eastAsia" w:ascii="宋体" w:hAnsi="宋体"/>
                <w:spacing w:val="0"/>
                <w:szCs w:val="21"/>
              </w:rPr>
              <w:t>包括生产全过程的</w:t>
            </w:r>
            <w:r>
              <w:rPr>
                <w:rFonts w:hint="eastAsia" w:ascii="宋体" w:hAnsi="宋体"/>
                <w:bCs/>
                <w:spacing w:val="0"/>
              </w:rPr>
              <w:t>工艺细则，</w:t>
            </w:r>
            <w:r>
              <w:rPr>
                <w:rFonts w:hint="eastAsia" w:ascii="宋体" w:hAnsi="宋体"/>
                <w:spacing w:val="0"/>
                <w:szCs w:val="21"/>
              </w:rPr>
              <w:t>相应条款应符合其对应的产品标准、设计</w:t>
            </w:r>
            <w:r>
              <w:rPr>
                <w:rFonts w:hint="eastAsia" w:ascii="宋体" w:hAnsi="宋体"/>
                <w:bCs/>
                <w:spacing w:val="0"/>
                <w:szCs w:val="21"/>
              </w:rPr>
              <w:t>图纸</w:t>
            </w:r>
            <w:r>
              <w:rPr>
                <w:rFonts w:hint="eastAsia" w:ascii="宋体" w:hAnsi="宋体"/>
                <w:spacing w:val="0"/>
                <w:szCs w:val="21"/>
              </w:rPr>
              <w:t>及相关标准的要求。应包含覆盖整个生产过程的工艺流程图，且</w:t>
            </w:r>
            <w:r>
              <w:rPr>
                <w:rFonts w:hint="eastAsia" w:ascii="宋体" w:hAnsi="宋体"/>
                <w:bCs/>
                <w:spacing w:val="0"/>
              </w:rPr>
              <w:t>识别质量控制点、关键工序及特殊过程。</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spacing w:val="0"/>
              </w:rPr>
            </w:pPr>
            <w:r>
              <w:rPr>
                <w:rFonts w:hint="eastAsia" w:ascii="宋体" w:hAnsi="宋体"/>
                <w:bCs/>
                <w:spacing w:val="0"/>
              </w:rPr>
              <w:t>⑤</w:t>
            </w:r>
            <w:r>
              <w:rPr>
                <w:rFonts w:ascii="宋体" w:hAnsi="宋体"/>
                <w:bCs/>
                <w:spacing w:val="0"/>
              </w:rPr>
              <w:t>对于</w:t>
            </w:r>
            <w:r>
              <w:rPr>
                <w:rFonts w:hint="eastAsia" w:ascii="宋体" w:hAnsi="宋体"/>
                <w:bCs/>
                <w:spacing w:val="0"/>
              </w:rPr>
              <w:t>识别和确认的关键工序、质量控制点、特殊过程，均应编制作业指导书。关键工艺参数应明确、具体，具有可操作性。</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ascii="宋体" w:hAnsi="宋体"/>
                <w:bCs/>
                <w:color w:val="000000"/>
                <w:spacing w:val="0"/>
              </w:rPr>
            </w:pPr>
            <w:r>
              <w:rPr>
                <w:rFonts w:hint="eastAsia" w:ascii="宋体" w:hAnsi="宋体"/>
                <w:bCs/>
                <w:spacing w:val="0"/>
                <w:szCs w:val="21"/>
              </w:rPr>
              <w:t>⑥各类工艺文件的签署、审批、颁布、更改手续正规完备，</w:t>
            </w:r>
            <w:r>
              <w:rPr>
                <w:rFonts w:hint="eastAsia" w:ascii="宋体" w:hAnsi="宋体"/>
                <w:spacing w:val="0"/>
                <w:szCs w:val="21"/>
              </w:rPr>
              <w:t>符合文件管理要求</w:t>
            </w:r>
            <w:r>
              <w:rPr>
                <w:rFonts w:hint="eastAsia" w:ascii="宋体" w:hAnsi="宋体"/>
                <w:bCs/>
                <w:spacing w:val="0"/>
                <w:szCs w:val="21"/>
              </w:rPr>
              <w:t>。</w:t>
            </w:r>
            <w:r>
              <w:rPr>
                <w:rFonts w:hint="eastAsia" w:ascii="宋体" w:hAnsi="宋体"/>
                <w:bCs/>
                <w:spacing w:val="0"/>
              </w:rPr>
              <w:t xml:space="preserve"> </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Cs/>
                <w:color w:val="000000"/>
                <w:spacing w:val="0"/>
              </w:rPr>
            </w:pPr>
            <w:r>
              <w:rPr>
                <w:rFonts w:hint="eastAsia" w:ascii="宋体" w:hAnsi="宋体"/>
                <w:bCs/>
                <w:color w:val="000000"/>
                <w:spacing w:val="0"/>
              </w:rPr>
              <w:t xml:space="preserve">所有关键工序、质量控制点、特殊过程均无技术工艺文件，则判不符合。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974"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hint="eastAsia" w:ascii="宋体" w:hAnsi="宋体"/>
                <w:bCs/>
                <w:color w:val="000000"/>
                <w:spacing w:val="0"/>
              </w:rPr>
              <w:t>18）技术工艺文件是否明确了具体的控制参数，其参数是否进行适宜的验证并正确（须贯彻执行产品标准）。</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hint="eastAsia" w:ascii="宋体" w:hAnsi="宋体"/>
                <w:bCs/>
                <w:spacing w:val="0"/>
              </w:rPr>
              <w:t>①</w:t>
            </w:r>
            <w:r>
              <w:rPr>
                <w:rFonts w:hint="eastAsia" w:ascii="宋体" w:hAnsi="宋体"/>
                <w:spacing w:val="0"/>
                <w:szCs w:val="21"/>
              </w:rPr>
              <w:t>混凝土及桥面保护层配合比参数的确认应经过强度、弹模、耐久性、拌合物工作性能的试验验证。</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hint="eastAsia" w:ascii="宋体" w:hAnsi="宋体"/>
                <w:spacing w:val="0"/>
                <w:szCs w:val="21"/>
              </w:rPr>
              <w:t>②预应力参数的确认应考虑实测的各项预应力损失影响，确保梁体内实存的预应力。</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hint="eastAsia" w:ascii="宋体" w:hAnsi="宋体"/>
                <w:bCs/>
                <w:spacing w:val="0"/>
              </w:rPr>
              <w:t>③压浆配比应对流动度、抗压及抗折强度进行验证。</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030"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ascii="宋体" w:hAnsi="宋体"/>
                <w:bCs/>
                <w:color w:val="000000"/>
                <w:spacing w:val="0"/>
              </w:rPr>
            </w:pPr>
            <w:r>
              <w:rPr>
                <w:rFonts w:hint="eastAsia" w:ascii="宋体" w:hAnsi="宋体"/>
                <w:bCs/>
                <w:color w:val="000000"/>
                <w:spacing w:val="0"/>
              </w:rPr>
              <w:t>4.3</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ascii="宋体" w:hAnsi="宋体"/>
                <w:bCs/>
                <w:color w:val="000000"/>
                <w:spacing w:val="0"/>
              </w:rPr>
            </w:pPr>
            <w:r>
              <w:rPr>
                <w:rFonts w:hint="eastAsia" w:ascii="宋体" w:hAnsi="宋体"/>
                <w:bCs/>
                <w:color w:val="000000"/>
                <w:spacing w:val="0"/>
              </w:rPr>
              <w:t>检验文件</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spacing w:val="0"/>
              </w:rPr>
            </w:pPr>
            <w:r>
              <w:rPr>
                <w:rFonts w:hint="eastAsia" w:ascii="宋体" w:hAnsi="宋体"/>
                <w:bCs/>
                <w:spacing w:val="0"/>
              </w:rPr>
              <w:t>19）</w:t>
            </w:r>
            <w:r>
              <w:rPr>
                <w:rFonts w:hint="eastAsia" w:ascii="宋体" w:hAnsi="宋体"/>
                <w:bCs/>
                <w:color w:val="000000"/>
                <w:spacing w:val="0"/>
              </w:rPr>
              <w:t>是否对采购重要原材料和关键零部件进货检验（或验证）、自制关键零部件检验等生产过程检验、出厂检验作出规定。</w:t>
            </w:r>
          </w:p>
          <w:p>
            <w:pPr>
              <w:keepNext w:val="0"/>
              <w:keepLines w:val="0"/>
              <w:pageBreakBefore w:val="0"/>
              <w:tabs>
                <w:tab w:val="right" w:leader="dot" w:pos="9060"/>
              </w:tabs>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hint="eastAsia" w:ascii="宋体" w:hAnsi="宋体"/>
                <w:spacing w:val="0"/>
                <w:szCs w:val="21"/>
              </w:rPr>
              <w:t>①企业应制定质量检验管理制度。</w:t>
            </w:r>
          </w:p>
          <w:p>
            <w:pPr>
              <w:keepNext w:val="0"/>
              <w:keepLines w:val="0"/>
              <w:pageBreakBefore w:val="0"/>
              <w:tabs>
                <w:tab w:val="right" w:leader="dot" w:pos="9060"/>
              </w:tabs>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hint="eastAsia" w:ascii="宋体" w:hAnsi="宋体"/>
                <w:spacing w:val="0"/>
                <w:szCs w:val="21"/>
              </w:rPr>
              <w:t>②质量检验制度应包含原、辅材料进场验收检验、零配件及外协加工项目的验收检验、生产工序的检验、成品出厂检验的相关规定。</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color w:val="000000"/>
                <w:spacing w:val="0"/>
              </w:rPr>
            </w:pPr>
            <w:r>
              <w:rPr>
                <w:rFonts w:hint="eastAsia" w:ascii="宋体" w:hAnsi="宋体"/>
                <w:bCs/>
                <w:color w:val="000000"/>
                <w:spacing w:val="0"/>
              </w:rPr>
              <w:t>核查内容20）和21）款均为“否”，则结论为不符合。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242"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jc w:val="left"/>
              <w:textAlignment w:val="auto"/>
              <w:outlineLvl w:val="9"/>
              <w:rPr>
                <w:rFonts w:ascii="宋体" w:hAnsi="宋体"/>
                <w:bCs/>
                <w:color w:val="000000"/>
                <w:spacing w:val="0"/>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jc w:val="left"/>
              <w:textAlignment w:val="auto"/>
              <w:outlineLvl w:val="9"/>
              <w:rPr>
                <w:rFonts w:ascii="宋体" w:hAnsi="宋体"/>
                <w:bCs/>
                <w:color w:val="000000"/>
                <w:spacing w:val="0"/>
              </w:rPr>
            </w:pP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right" w:leader="dot" w:pos="9060"/>
              </w:tabs>
              <w:kinsoku/>
              <w:wordWrap/>
              <w:overflowPunct/>
              <w:topLinePunct w:val="0"/>
              <w:autoSpaceDE/>
              <w:autoSpaceDN/>
              <w:bidi w:val="0"/>
              <w:adjustRightInd w:val="0"/>
              <w:snapToGrid w:val="0"/>
              <w:spacing w:line="380" w:lineRule="exact"/>
              <w:textAlignment w:val="auto"/>
              <w:outlineLvl w:val="9"/>
              <w:rPr>
                <w:rFonts w:ascii="宋体" w:hAnsi="宋体"/>
                <w:bCs/>
                <w:spacing w:val="0"/>
              </w:rPr>
            </w:pPr>
            <w:r>
              <w:rPr>
                <w:rFonts w:hint="eastAsia" w:ascii="宋体" w:hAnsi="宋体"/>
                <w:bCs/>
                <w:spacing w:val="0"/>
              </w:rPr>
              <w:t>20）</w:t>
            </w:r>
            <w:r>
              <w:rPr>
                <w:rFonts w:hint="eastAsia" w:ascii="宋体" w:hAnsi="宋体"/>
                <w:bCs/>
                <w:color w:val="000000"/>
                <w:spacing w:val="0"/>
              </w:rPr>
              <w:t>是否编制了检验规程，其内容是否完整正确。</w:t>
            </w:r>
          </w:p>
          <w:p>
            <w:pPr>
              <w:keepNext w:val="0"/>
              <w:keepLines w:val="0"/>
              <w:pageBreakBefore w:val="0"/>
              <w:tabs>
                <w:tab w:val="right" w:leader="dot" w:pos="9060"/>
              </w:tabs>
              <w:kinsoku/>
              <w:wordWrap/>
              <w:overflowPunct/>
              <w:topLinePunct w:val="0"/>
              <w:autoSpaceDE/>
              <w:autoSpaceDN/>
              <w:bidi w:val="0"/>
              <w:adjustRightInd w:val="0"/>
              <w:snapToGrid w:val="0"/>
              <w:spacing w:line="380" w:lineRule="exact"/>
              <w:textAlignment w:val="auto"/>
              <w:outlineLvl w:val="9"/>
              <w:rPr>
                <w:rFonts w:ascii="宋体" w:hAnsi="宋体"/>
                <w:spacing w:val="0"/>
                <w:szCs w:val="21"/>
              </w:rPr>
            </w:pPr>
            <w:r>
              <w:rPr>
                <w:rFonts w:hint="eastAsia" w:ascii="宋体" w:hAnsi="宋体"/>
                <w:spacing w:val="0"/>
                <w:szCs w:val="21"/>
              </w:rPr>
              <w:t>①检验规程应明确规定检验项目、检验频次、抽样基数、办法、样品数量、质量指标、试验仪器、检验方法、检验步骤、试验数据处理，检验结果合格判定准则。</w:t>
            </w:r>
          </w:p>
          <w:p>
            <w:pPr>
              <w:keepNext w:val="0"/>
              <w:keepLines w:val="0"/>
              <w:pageBreakBefore w:val="0"/>
              <w:kinsoku/>
              <w:wordWrap/>
              <w:overflowPunct/>
              <w:topLinePunct w:val="0"/>
              <w:autoSpaceDE/>
              <w:autoSpaceDN/>
              <w:bidi w:val="0"/>
              <w:adjustRightInd w:val="0"/>
              <w:snapToGrid w:val="0"/>
              <w:spacing w:line="380" w:lineRule="exact"/>
              <w:textAlignment w:val="auto"/>
              <w:outlineLvl w:val="9"/>
              <w:rPr>
                <w:rFonts w:ascii="宋体" w:hAnsi="宋体"/>
                <w:bCs/>
                <w:spacing w:val="0"/>
              </w:rPr>
            </w:pPr>
            <w:r>
              <w:rPr>
                <w:rFonts w:hint="eastAsia" w:ascii="宋体" w:hAnsi="宋体"/>
                <w:spacing w:val="0"/>
                <w:szCs w:val="21"/>
              </w:rPr>
              <w:t>②制定的各类检验规程的内容及要求应完整、合理、满足产品标准规定。</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textAlignment w:val="auto"/>
              <w:outlineLvl w:val="9"/>
              <w:rPr>
                <w:rFonts w:ascii="宋体" w:hAnsi="宋体"/>
                <w:bCs/>
                <w:color w:val="000000"/>
                <w:spacing w:val="0"/>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8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54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ascii="宋体" w:hAnsi="宋体"/>
                <w:b/>
                <w:bCs/>
                <w:color w:val="000000"/>
                <w:spacing w:val="0"/>
              </w:rPr>
            </w:pPr>
            <w:r>
              <w:rPr>
                <w:rFonts w:hint="eastAsia" w:ascii="宋体" w:hAnsi="宋体"/>
                <w:b/>
                <w:bCs/>
                <w:color w:val="000000"/>
                <w:spacing w:val="0"/>
              </w:rPr>
              <w:t>5</w:t>
            </w:r>
          </w:p>
        </w:tc>
        <w:tc>
          <w:tcPr>
            <w:tcW w:w="133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rFonts w:ascii="宋体" w:hAnsi="宋体"/>
                <w:b/>
                <w:bCs/>
                <w:color w:val="000000"/>
                <w:spacing w:val="0"/>
              </w:rPr>
            </w:pPr>
            <w:r>
              <w:rPr>
                <w:rFonts w:hint="eastAsia" w:ascii="宋体" w:hAnsi="宋体"/>
                <w:b/>
                <w:bCs/>
                <w:color w:val="000000"/>
                <w:spacing w:val="0"/>
              </w:rPr>
              <w:t>生产过程控制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55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5.1</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生产</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记录</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21）是否对工序</w:t>
            </w:r>
            <w:r>
              <w:rPr>
                <w:rFonts w:hint="eastAsia" w:ascii="宋体" w:hAnsi="宋体"/>
                <w:bCs/>
                <w:color w:val="000000"/>
                <w:spacing w:val="0"/>
              </w:rPr>
              <w:t>进行如实的记录。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①是否对钢筋加工及绑扎工序、模板工序、混凝土拌合浇筑及养护工序、预应力张拉工序、压浆工序、封端工序、防水层施工工序等生产过程进行如实的记录。</w:t>
            </w:r>
            <w:r>
              <w:rPr>
                <w:rFonts w:hint="eastAsia" w:ascii="宋体" w:hAnsi="宋体"/>
                <w:bCs/>
                <w:spacing w:val="0"/>
                <w:szCs w:val="21"/>
              </w:rPr>
              <w:t>如梁场设置监理，还需监理工程师签认。</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②如果成品梁未按设计时间进行架设和施加二期恒载，则应对梁体变形进行监视，必要时采取适当措施减少徐变上拱度，并提供记录。</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szCs w:val="32"/>
              </w:rPr>
              <w:t>涉及到生产记录真实性（笔误除外），则结论为不符合。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55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5.2</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宋体" w:hAnsi="宋体"/>
                <w:bCs/>
                <w:color w:val="000000"/>
                <w:spacing w:val="0"/>
              </w:rPr>
            </w:pPr>
            <w:r>
              <w:rPr>
                <w:rFonts w:hint="eastAsia" w:ascii="宋体" w:hAnsi="宋体"/>
                <w:bCs/>
                <w:color w:val="000000"/>
                <w:spacing w:val="0"/>
              </w:rPr>
              <w:t>采购</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控制</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ascii="宋体" w:hAnsi="宋体"/>
                <w:bCs/>
                <w:spacing w:val="0"/>
              </w:rPr>
              <w:t>2</w:t>
            </w:r>
            <w:r>
              <w:rPr>
                <w:rFonts w:hint="eastAsia" w:ascii="宋体" w:hAnsi="宋体"/>
                <w:bCs/>
                <w:spacing w:val="0"/>
              </w:rPr>
              <w:t>2</w:t>
            </w:r>
            <w:r>
              <w:rPr>
                <w:rFonts w:ascii="宋体" w:hAnsi="宋体"/>
                <w:bCs/>
                <w:spacing w:val="0"/>
              </w:rPr>
              <w:t>）</w:t>
            </w:r>
            <w:r>
              <w:rPr>
                <w:rFonts w:hint="eastAsia" w:ascii="宋体" w:hAnsi="宋体"/>
                <w:bCs/>
                <w:spacing w:val="0"/>
              </w:rPr>
              <w:t>是否进行采购控制。</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bCs/>
                <w:spacing w:val="0"/>
              </w:rPr>
              <w:t>①</w:t>
            </w:r>
            <w:r>
              <w:rPr>
                <w:rFonts w:hint="eastAsia" w:ascii="宋体" w:hAnsi="宋体"/>
                <w:spacing w:val="0"/>
                <w:szCs w:val="21"/>
              </w:rPr>
              <w:t>企业应制定影响产品质量的主要原、辅材料、零部件的供方及外协单位的评价规定，并依据规定进行评价，保存供方及外协单位名单和供货、协作记录。</w:t>
            </w:r>
            <w:r>
              <w:rPr>
                <w:rFonts w:ascii="宋体" w:hAnsi="宋体"/>
                <w:spacing w:val="0"/>
                <w:szCs w:val="21"/>
              </w:rPr>
              <w:t xml:space="preserve"> </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②企业应根据正式批准的采购文件或委托加工合同进行采购或外协加工。</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szCs w:val="21"/>
              </w:rPr>
              <w:t>③</w:t>
            </w:r>
            <w:r>
              <w:rPr>
                <w:rFonts w:hint="eastAsia" w:ascii="宋体" w:hAnsi="宋体"/>
                <w:spacing w:val="0"/>
                <w:szCs w:val="21"/>
              </w:rPr>
              <w:t>主要原材料应全部在合格供方采购，并应满足国家和行业行政法规的要求，以满足产品质量需要。</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20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5.3</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原材料进货检验及保管</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23）</w:t>
            </w:r>
            <w:r>
              <w:rPr>
                <w:rFonts w:hint="eastAsia" w:ascii="宋体" w:hAnsi="宋体"/>
                <w:bCs/>
                <w:spacing w:val="0"/>
              </w:rPr>
              <w:t>是否进行原材料及零配件的采购验证并妥善保管。</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①重要原材料和关键零配件应按本办法4.3检验文件的规定进行检验，并保留检验记录。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szCs w:val="21"/>
              </w:rPr>
              <w:t>②主要原材料首次进货</w:t>
            </w:r>
            <w:r>
              <w:rPr>
                <w:rFonts w:ascii="宋体" w:hAnsi="宋体"/>
                <w:bCs/>
                <w:spacing w:val="0"/>
                <w:szCs w:val="21"/>
              </w:rPr>
              <w:t>时，应做一次</w:t>
            </w:r>
            <w:r>
              <w:rPr>
                <w:rFonts w:hint="eastAsia" w:ascii="宋体" w:hAnsi="宋体"/>
                <w:bCs/>
                <w:spacing w:val="0"/>
                <w:szCs w:val="21"/>
              </w:rPr>
              <w:t>全项</w:t>
            </w:r>
            <w:r>
              <w:rPr>
                <w:rFonts w:ascii="宋体" w:hAnsi="宋体"/>
                <w:bCs/>
                <w:spacing w:val="0"/>
                <w:szCs w:val="21"/>
              </w:rPr>
              <w:t>检验</w:t>
            </w:r>
            <w:r>
              <w:rPr>
                <w:rFonts w:hint="eastAsia" w:ascii="宋体" w:hAnsi="宋体"/>
                <w:bCs/>
                <w:spacing w:val="0"/>
                <w:szCs w:val="21"/>
              </w:rPr>
              <w:t>。全项检验频次应满足产品标准及相关标准的要求，且不应超过1个</w:t>
            </w:r>
            <w:r>
              <w:rPr>
                <w:rFonts w:hint="eastAsia" w:ascii="宋体" w:hAnsi="宋体"/>
                <w:iCs/>
                <w:spacing w:val="0"/>
                <w:kern w:val="0"/>
                <w:szCs w:val="24"/>
              </w:rPr>
              <w:t>生产许可证发证周期</w:t>
            </w:r>
            <w:r>
              <w:rPr>
                <w:rFonts w:hint="eastAsia" w:ascii="宋体" w:hAnsi="宋体"/>
                <w:bCs/>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③水泥中的碱含量、氯离子含量，砂石料的碱活性指标，须进行首次检验。</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④应对原材料的检验状态进行标识并分别存放，防止混淆。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bCs/>
                <w:spacing w:val="0"/>
                <w:szCs w:val="21"/>
              </w:rPr>
              <w:t>⑤</w:t>
            </w:r>
            <w:r>
              <w:rPr>
                <w:rFonts w:ascii="宋体" w:hAnsi="宋体"/>
                <w:spacing w:val="0"/>
                <w:szCs w:val="21"/>
              </w:rPr>
              <w:t>主要原材料检验的原始记录或检验报告</w:t>
            </w:r>
            <w:r>
              <w:rPr>
                <w:rFonts w:hint="eastAsia" w:ascii="宋体" w:hAnsi="宋体"/>
                <w:spacing w:val="0"/>
                <w:szCs w:val="21"/>
              </w:rPr>
              <w:t>应</w:t>
            </w:r>
            <w:r>
              <w:rPr>
                <w:rFonts w:ascii="宋体" w:hAnsi="宋体"/>
                <w:spacing w:val="0"/>
                <w:szCs w:val="21"/>
              </w:rPr>
              <w:t>完整、准确。</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⑥</w:t>
            </w:r>
            <w:r>
              <w:rPr>
                <w:rFonts w:ascii="宋体" w:hAnsi="宋体"/>
                <w:spacing w:val="0"/>
                <w:szCs w:val="21"/>
              </w:rPr>
              <w:t>各种检测、试验、</w:t>
            </w:r>
            <w:r>
              <w:rPr>
                <w:rFonts w:hint="eastAsia" w:ascii="宋体" w:hAnsi="宋体"/>
                <w:spacing w:val="0"/>
                <w:szCs w:val="21"/>
              </w:rPr>
              <w:t>测</w:t>
            </w:r>
            <w:r>
              <w:rPr>
                <w:rFonts w:ascii="宋体" w:hAnsi="宋体"/>
                <w:spacing w:val="0"/>
                <w:szCs w:val="21"/>
              </w:rPr>
              <w:t>量原始记录</w:t>
            </w:r>
            <w:r>
              <w:rPr>
                <w:rFonts w:hint="eastAsia" w:ascii="宋体" w:hAnsi="宋体"/>
                <w:spacing w:val="0"/>
                <w:szCs w:val="21"/>
              </w:rPr>
              <w:t>应</w:t>
            </w:r>
            <w:r>
              <w:rPr>
                <w:rFonts w:ascii="宋体" w:hAnsi="宋体"/>
                <w:spacing w:val="0"/>
                <w:szCs w:val="21"/>
              </w:rPr>
              <w:t>齐全，并整理、汇总、统计</w:t>
            </w:r>
            <w:r>
              <w:rPr>
                <w:rFonts w:hint="eastAsia" w:ascii="宋体" w:hAnsi="宋体"/>
                <w:spacing w:val="0"/>
                <w:szCs w:val="21"/>
              </w:rPr>
              <w:t>、分析</w:t>
            </w:r>
            <w:r>
              <w:rPr>
                <w:rFonts w:ascii="宋体" w:hAnsi="宋体"/>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spacing w:val="0"/>
                <w:szCs w:val="21"/>
              </w:rPr>
              <w:t>⑦原辅材料及零配件应妥善保管，防止出现损伤或变质。</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检验记录不完整、不规范的情况，为否，则结论为建议改进。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173"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5.4</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过程检验</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24）自制关键零部件、生产过程中的关键技术指标是否按规定进行检验，并保留检验记录。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bCs/>
                <w:spacing w:val="0"/>
              </w:rPr>
              <w:t>①生产过程中的关键技术指标应按</w:t>
            </w:r>
            <w:r>
              <w:rPr>
                <w:rFonts w:ascii="宋体" w:hAnsi="宋体"/>
                <w:bCs/>
                <w:spacing w:val="0"/>
              </w:rPr>
              <w:t>检验文件的</w:t>
            </w:r>
            <w:r>
              <w:rPr>
                <w:rFonts w:hint="eastAsia" w:ascii="宋体" w:hAnsi="宋体"/>
                <w:bCs/>
                <w:spacing w:val="0"/>
              </w:rPr>
              <w:t>规定进行检验，并保留检验记录。</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bCs/>
                <w:spacing w:val="0"/>
              </w:rPr>
              <w:t>②</w:t>
            </w:r>
            <w:r>
              <w:rPr>
                <w:rFonts w:ascii="宋体" w:hAnsi="宋体"/>
                <w:spacing w:val="0"/>
                <w:szCs w:val="21"/>
              </w:rPr>
              <w:t>对主要工序检验点进行的过程检验</w:t>
            </w:r>
            <w:r>
              <w:rPr>
                <w:rFonts w:hint="eastAsia" w:ascii="宋体" w:hAnsi="宋体"/>
                <w:spacing w:val="0"/>
                <w:szCs w:val="21"/>
              </w:rPr>
              <w:t>应</w:t>
            </w:r>
            <w:r>
              <w:rPr>
                <w:rFonts w:ascii="宋体" w:hAnsi="宋体"/>
                <w:spacing w:val="0"/>
                <w:szCs w:val="21"/>
              </w:rPr>
              <w:t>符合行业标准</w:t>
            </w:r>
            <w:r>
              <w:rPr>
                <w:rFonts w:hint="eastAsia" w:ascii="宋体" w:hAnsi="宋体"/>
                <w:spacing w:val="0"/>
                <w:szCs w:val="21"/>
              </w:rPr>
              <w:t>、规范</w:t>
            </w:r>
            <w:r>
              <w:rPr>
                <w:rFonts w:ascii="宋体" w:hAnsi="宋体"/>
                <w:spacing w:val="0"/>
                <w:szCs w:val="21"/>
              </w:rPr>
              <w:t>的规定。</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spacing w:val="0"/>
                <w:szCs w:val="21"/>
              </w:rPr>
              <w:t>③产品标准中规定的混凝土耐久性指标应</w:t>
            </w:r>
            <w:r>
              <w:rPr>
                <w:rFonts w:hint="eastAsia" w:ascii="宋体" w:hAnsi="宋体"/>
                <w:bCs/>
                <w:spacing w:val="0"/>
                <w:szCs w:val="21"/>
              </w:rPr>
              <w:t>进行首次检验并合格。</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④</w:t>
            </w:r>
            <w:r>
              <w:rPr>
                <w:rFonts w:ascii="宋体" w:hAnsi="宋体"/>
                <w:bCs/>
                <w:spacing w:val="0"/>
                <w:szCs w:val="21"/>
              </w:rPr>
              <w:t>对生产工序、半成品的检验状态</w:t>
            </w:r>
            <w:r>
              <w:rPr>
                <w:rFonts w:hint="eastAsia" w:ascii="宋体" w:hAnsi="宋体"/>
                <w:bCs/>
                <w:spacing w:val="0"/>
                <w:szCs w:val="21"/>
              </w:rPr>
              <w:t>应进行标识。</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⑤应</w:t>
            </w:r>
            <w:r>
              <w:rPr>
                <w:rFonts w:ascii="宋体" w:hAnsi="宋体"/>
                <w:bCs/>
                <w:spacing w:val="0"/>
                <w:szCs w:val="21"/>
              </w:rPr>
              <w:t>关注</w:t>
            </w:r>
            <w:r>
              <w:rPr>
                <w:rFonts w:hint="eastAsia" w:ascii="宋体" w:hAnsi="宋体"/>
                <w:bCs/>
                <w:spacing w:val="0"/>
                <w:szCs w:val="21"/>
              </w:rPr>
              <w:t>关键参数的变化情况，及时调整防止不合格品的产生。</w:t>
            </w:r>
            <w:r>
              <w:rPr>
                <w:rFonts w:ascii="宋体" w:hAnsi="宋体"/>
                <w:bCs/>
                <w:spacing w:val="0"/>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spacing w:val="0"/>
                <w:szCs w:val="21"/>
              </w:rPr>
              <w:t>⑥对</w:t>
            </w:r>
            <w:r>
              <w:rPr>
                <w:rFonts w:ascii="宋体" w:hAnsi="宋体"/>
                <w:spacing w:val="0"/>
                <w:szCs w:val="21"/>
              </w:rPr>
              <w:t>各</w:t>
            </w:r>
            <w:r>
              <w:rPr>
                <w:rFonts w:hint="eastAsia" w:ascii="宋体" w:hAnsi="宋体"/>
                <w:spacing w:val="0"/>
                <w:szCs w:val="21"/>
              </w:rPr>
              <w:t>项</w:t>
            </w:r>
            <w:r>
              <w:rPr>
                <w:rFonts w:ascii="宋体" w:hAnsi="宋体"/>
                <w:spacing w:val="0"/>
                <w:szCs w:val="21"/>
              </w:rPr>
              <w:t>检测原始记录</w:t>
            </w:r>
            <w:r>
              <w:rPr>
                <w:rFonts w:hint="eastAsia" w:ascii="宋体" w:hAnsi="宋体"/>
                <w:spacing w:val="0"/>
                <w:szCs w:val="21"/>
              </w:rPr>
              <w:t>应</w:t>
            </w:r>
            <w:r>
              <w:rPr>
                <w:rFonts w:ascii="宋体" w:hAnsi="宋体"/>
                <w:spacing w:val="0"/>
                <w:szCs w:val="21"/>
              </w:rPr>
              <w:t>整理、汇总、统计</w:t>
            </w:r>
            <w:r>
              <w:rPr>
                <w:rFonts w:hint="eastAsia" w:ascii="宋体" w:hAnsi="宋体"/>
                <w:spacing w:val="0"/>
                <w:szCs w:val="21"/>
              </w:rPr>
              <w:t>、分析并及时</w:t>
            </w:r>
            <w:r>
              <w:rPr>
                <w:rFonts w:ascii="宋体" w:hAnsi="宋体"/>
                <w:spacing w:val="0"/>
                <w:szCs w:val="21"/>
              </w:rPr>
              <w:t>反馈、指导生产。</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⑦重点核查涉及龄期项及过程控制的资料。包括：混凝土拌合物温度及含气量；拆模温差；</w:t>
            </w:r>
            <w:r>
              <w:rPr>
                <w:rFonts w:ascii="宋体" w:hAnsi="宋体"/>
                <w:bCs/>
                <w:spacing w:val="0"/>
                <w:szCs w:val="21"/>
              </w:rPr>
              <w:t xml:space="preserve"> R</w:t>
            </w:r>
            <w:r>
              <w:rPr>
                <w:rFonts w:hint="eastAsia" w:ascii="宋体" w:hAnsi="宋体"/>
                <w:bCs/>
                <w:spacing w:val="0"/>
                <w:szCs w:val="21"/>
                <w:vertAlign w:val="subscript"/>
              </w:rPr>
              <w:t>初张</w:t>
            </w:r>
            <w:r>
              <w:rPr>
                <w:rFonts w:hint="eastAsia" w:ascii="宋体" w:hAnsi="宋体"/>
                <w:bCs/>
                <w:spacing w:val="0"/>
                <w:szCs w:val="21"/>
              </w:rPr>
              <w:t>、</w:t>
            </w:r>
            <w:r>
              <w:rPr>
                <w:rFonts w:ascii="宋体" w:hAnsi="宋体"/>
                <w:bCs/>
                <w:spacing w:val="0"/>
                <w:szCs w:val="21"/>
              </w:rPr>
              <w:t>R</w:t>
            </w:r>
            <w:r>
              <w:rPr>
                <w:rFonts w:hint="eastAsia" w:ascii="宋体" w:hAnsi="宋体"/>
                <w:bCs/>
                <w:spacing w:val="0"/>
                <w:szCs w:val="21"/>
                <w:vertAlign w:val="subscript"/>
              </w:rPr>
              <w:t>终张／放张</w:t>
            </w:r>
            <w:r>
              <w:rPr>
                <w:rFonts w:hint="eastAsia" w:ascii="宋体" w:hAnsi="宋体"/>
                <w:bCs/>
                <w:spacing w:val="0"/>
                <w:szCs w:val="21"/>
              </w:rPr>
              <w:t>、</w:t>
            </w:r>
            <w:r>
              <w:rPr>
                <w:rFonts w:ascii="宋体" w:hAnsi="宋体"/>
                <w:bCs/>
                <w:spacing w:val="0"/>
                <w:szCs w:val="21"/>
              </w:rPr>
              <w:t>E</w:t>
            </w:r>
            <w:r>
              <w:rPr>
                <w:rFonts w:hint="eastAsia" w:ascii="宋体" w:hAnsi="宋体"/>
                <w:bCs/>
                <w:spacing w:val="0"/>
                <w:szCs w:val="21"/>
                <w:vertAlign w:val="subscript"/>
              </w:rPr>
              <w:t>终张／放张</w:t>
            </w:r>
            <w:r>
              <w:rPr>
                <w:rFonts w:hint="eastAsia" w:ascii="宋体" w:hAnsi="宋体"/>
                <w:bCs/>
                <w:spacing w:val="0"/>
                <w:szCs w:val="21"/>
              </w:rPr>
              <w:t>、</w:t>
            </w:r>
            <w:r>
              <w:rPr>
                <w:rFonts w:ascii="宋体" w:hAnsi="宋体"/>
                <w:bCs/>
                <w:spacing w:val="0"/>
                <w:szCs w:val="21"/>
              </w:rPr>
              <w:t>R</w:t>
            </w:r>
            <w:r>
              <w:rPr>
                <w:rFonts w:ascii="宋体" w:hAnsi="宋体"/>
                <w:bCs/>
                <w:spacing w:val="0"/>
                <w:szCs w:val="21"/>
                <w:vertAlign w:val="subscript"/>
              </w:rPr>
              <w:t>28</w:t>
            </w:r>
            <w:r>
              <w:rPr>
                <w:rFonts w:hint="eastAsia" w:ascii="宋体" w:hAnsi="宋体"/>
                <w:bCs/>
                <w:spacing w:val="0"/>
                <w:szCs w:val="21"/>
              </w:rPr>
              <w:t>、</w:t>
            </w:r>
            <w:r>
              <w:rPr>
                <w:rFonts w:ascii="宋体" w:hAnsi="宋体"/>
                <w:bCs/>
                <w:spacing w:val="0"/>
                <w:szCs w:val="21"/>
              </w:rPr>
              <w:t>E</w:t>
            </w:r>
            <w:r>
              <w:rPr>
                <w:rFonts w:ascii="宋体" w:hAnsi="宋体"/>
                <w:bCs/>
                <w:spacing w:val="0"/>
                <w:szCs w:val="21"/>
                <w:vertAlign w:val="subscript"/>
              </w:rPr>
              <w:t>28</w:t>
            </w:r>
            <w:r>
              <w:rPr>
                <w:rFonts w:hint="eastAsia" w:ascii="宋体" w:hAnsi="宋体"/>
                <w:bCs/>
                <w:spacing w:val="0"/>
                <w:szCs w:val="21"/>
              </w:rPr>
              <w:t>、</w:t>
            </w:r>
            <w:r>
              <w:rPr>
                <w:rFonts w:ascii="宋体" w:hAnsi="宋体"/>
                <w:bCs/>
                <w:spacing w:val="0"/>
                <w:szCs w:val="21"/>
              </w:rPr>
              <w:t>R</w:t>
            </w:r>
            <w:r>
              <w:rPr>
                <w:rFonts w:hint="eastAsia" w:ascii="宋体" w:hAnsi="宋体"/>
                <w:bCs/>
                <w:spacing w:val="0"/>
                <w:szCs w:val="21"/>
                <w:vertAlign w:val="subscript"/>
              </w:rPr>
              <w:t>封端</w:t>
            </w:r>
            <w:r>
              <w:rPr>
                <w:rFonts w:hint="eastAsia" w:ascii="宋体" w:hAnsi="宋体"/>
                <w:bCs/>
                <w:spacing w:val="0"/>
                <w:szCs w:val="21"/>
              </w:rPr>
              <w:t>、</w:t>
            </w:r>
            <w:r>
              <w:rPr>
                <w:rFonts w:ascii="宋体" w:hAnsi="宋体"/>
                <w:bCs/>
                <w:spacing w:val="0"/>
                <w:szCs w:val="21"/>
              </w:rPr>
              <w:t>R</w:t>
            </w:r>
            <w:r>
              <w:rPr>
                <w:rFonts w:hint="eastAsia" w:ascii="宋体" w:hAnsi="宋体"/>
                <w:bCs/>
                <w:spacing w:val="0"/>
                <w:szCs w:val="21"/>
                <w:vertAlign w:val="subscript"/>
              </w:rPr>
              <w:t>保护层</w:t>
            </w:r>
            <w:r>
              <w:rPr>
                <w:rFonts w:hint="eastAsia" w:ascii="宋体" w:hAnsi="宋体"/>
                <w:bCs/>
                <w:spacing w:val="0"/>
                <w:szCs w:val="21"/>
              </w:rPr>
              <w:t>、M</w:t>
            </w:r>
            <w:r>
              <w:rPr>
                <w:rFonts w:hint="eastAsia" w:ascii="宋体" w:hAnsi="宋体"/>
                <w:bCs/>
                <w:spacing w:val="0"/>
                <w:szCs w:val="21"/>
                <w:vertAlign w:val="subscript"/>
              </w:rPr>
              <w:t>压浆</w:t>
            </w:r>
            <w:r>
              <w:rPr>
                <w:rFonts w:hint="eastAsia" w:ascii="宋体" w:hAnsi="宋体"/>
                <w:bCs/>
                <w:spacing w:val="0"/>
                <w:szCs w:val="21"/>
              </w:rPr>
              <w:t>；梁体混凝土耐久性指标；管道摩阻、锚口喇叭口摩阻；张拉力及伸长值；弹性上拱、终张拉／放张30</w:t>
            </w:r>
            <w:r>
              <w:rPr>
                <w:rFonts w:ascii="宋体" w:hAnsi="宋体"/>
                <w:bCs/>
                <w:spacing w:val="0"/>
                <w:szCs w:val="21"/>
              </w:rPr>
              <w:t>d</w:t>
            </w:r>
            <w:r>
              <w:rPr>
                <w:rFonts w:hint="eastAsia" w:ascii="宋体" w:hAnsi="宋体"/>
                <w:bCs/>
                <w:spacing w:val="0"/>
                <w:szCs w:val="21"/>
              </w:rPr>
              <w:t>的上拱度；压浆真空度及压力；保护层细石混凝土配比及纤维掺量等。</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⑧现场考核关键工序及特殊工序的控制指标。如：混凝土浇筑工序拌合物性能测试参数、预应力张拉力及伸长值、压浆浆体流动度及保压性能、防水层制作等。</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建议改进</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spacing w:val="0"/>
              </w:rPr>
              <w:t>混凝土拌合和灌注、预应力张拉、管道压浆失控且出现系统性偏差，则结论为不符合。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101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5.5</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出厂检验</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color w:val="000000"/>
                <w:spacing w:val="0"/>
              </w:rPr>
              <w:t>25）成品出厂应按规定进行出场（厂）检验，检验记录应完整、规范并符合相关标准的规定。</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①企业应按产品标准的要求及本细则检验文件的要求，对产品进行出厂检验和试验，出具产品检验合格证（制造技术证明书）。</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②</w:t>
            </w:r>
            <w:r>
              <w:rPr>
                <w:rFonts w:ascii="宋体" w:hAnsi="宋体"/>
                <w:bCs/>
                <w:spacing w:val="0"/>
                <w:szCs w:val="21"/>
              </w:rPr>
              <w:t>产品质量检验和试验的项目、检验频次、检验结果</w:t>
            </w:r>
            <w:r>
              <w:rPr>
                <w:rFonts w:hint="eastAsia" w:ascii="宋体" w:hAnsi="宋体"/>
                <w:bCs/>
                <w:spacing w:val="0"/>
                <w:szCs w:val="21"/>
              </w:rPr>
              <w:t>应</w:t>
            </w:r>
            <w:r>
              <w:rPr>
                <w:rFonts w:ascii="宋体" w:hAnsi="宋体"/>
                <w:bCs/>
                <w:spacing w:val="0"/>
                <w:szCs w:val="21"/>
              </w:rPr>
              <w:t>符合</w:t>
            </w:r>
            <w:r>
              <w:rPr>
                <w:rFonts w:hint="eastAsia" w:ascii="宋体" w:hAnsi="宋体"/>
                <w:bCs/>
                <w:spacing w:val="0"/>
                <w:szCs w:val="21"/>
              </w:rPr>
              <w:t>产品</w:t>
            </w:r>
            <w:r>
              <w:rPr>
                <w:rFonts w:ascii="宋体" w:hAnsi="宋体"/>
                <w:bCs/>
                <w:spacing w:val="0"/>
                <w:szCs w:val="21"/>
              </w:rPr>
              <w:t>标准要求。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③制造技术证明书中，产品的外形外观测量项目应与梁型相对应，</w:t>
            </w:r>
            <w:r>
              <w:rPr>
                <w:rFonts w:ascii="宋体" w:hAnsi="宋体"/>
                <w:bCs/>
                <w:spacing w:val="0"/>
                <w:szCs w:val="21"/>
              </w:rPr>
              <w:t>项目不少于</w:t>
            </w:r>
            <w:r>
              <w:rPr>
                <w:rFonts w:hint="eastAsia" w:ascii="宋体" w:hAnsi="宋体"/>
                <w:bCs/>
                <w:spacing w:val="0"/>
                <w:szCs w:val="21"/>
              </w:rPr>
              <w:t>产品标准</w:t>
            </w:r>
            <w:r>
              <w:rPr>
                <w:rFonts w:ascii="宋体" w:hAnsi="宋体"/>
                <w:bCs/>
                <w:spacing w:val="0"/>
                <w:szCs w:val="21"/>
              </w:rPr>
              <w:t>规定的项目</w:t>
            </w:r>
            <w:r>
              <w:rPr>
                <w:rFonts w:hint="eastAsia" w:ascii="宋体" w:hAnsi="宋体"/>
                <w:bCs/>
                <w:spacing w:val="0"/>
                <w:szCs w:val="21"/>
              </w:rPr>
              <w:t>。</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bCs/>
                <w:spacing w:val="0"/>
                <w:szCs w:val="21"/>
              </w:rPr>
            </w:pPr>
            <w:r>
              <w:rPr>
                <w:rFonts w:hint="eastAsia" w:ascii="宋体" w:hAnsi="宋体"/>
                <w:bCs/>
                <w:spacing w:val="0"/>
                <w:szCs w:val="21"/>
              </w:rPr>
              <w:t>④</w:t>
            </w:r>
            <w:r>
              <w:rPr>
                <w:rFonts w:ascii="宋体" w:hAnsi="宋体"/>
                <w:bCs/>
                <w:spacing w:val="0"/>
                <w:szCs w:val="21"/>
              </w:rPr>
              <w:t>产品技术档案：每片梁</w:t>
            </w:r>
            <w:r>
              <w:rPr>
                <w:rFonts w:hint="eastAsia" w:ascii="宋体" w:hAnsi="宋体"/>
                <w:bCs/>
                <w:spacing w:val="0"/>
                <w:szCs w:val="21"/>
              </w:rPr>
              <w:t>的</w:t>
            </w:r>
            <w:r>
              <w:rPr>
                <w:rFonts w:ascii="宋体" w:hAnsi="宋体"/>
                <w:bCs/>
                <w:spacing w:val="0"/>
                <w:szCs w:val="21"/>
              </w:rPr>
              <w:t>技术档案</w:t>
            </w:r>
            <w:r>
              <w:rPr>
                <w:rFonts w:hint="eastAsia" w:ascii="宋体" w:hAnsi="宋体"/>
                <w:bCs/>
                <w:spacing w:val="0"/>
                <w:szCs w:val="21"/>
              </w:rPr>
              <w:t>中</w:t>
            </w:r>
            <w:r>
              <w:rPr>
                <w:rFonts w:ascii="宋体" w:hAnsi="宋体"/>
                <w:bCs/>
                <w:spacing w:val="0"/>
                <w:szCs w:val="21"/>
              </w:rPr>
              <w:t>建档项目不少于</w:t>
            </w:r>
            <w:r>
              <w:rPr>
                <w:rFonts w:hint="eastAsia" w:ascii="宋体" w:hAnsi="宋体"/>
                <w:bCs/>
                <w:spacing w:val="0"/>
                <w:szCs w:val="21"/>
              </w:rPr>
              <w:t>标准</w:t>
            </w:r>
            <w:r>
              <w:rPr>
                <w:rFonts w:ascii="宋体" w:hAnsi="宋体"/>
                <w:bCs/>
                <w:spacing w:val="0"/>
                <w:szCs w:val="21"/>
              </w:rPr>
              <w:t>规定的必须项目，</w:t>
            </w:r>
            <w:r>
              <w:rPr>
                <w:rFonts w:hint="eastAsia" w:ascii="宋体" w:hAnsi="宋体"/>
                <w:bCs/>
                <w:spacing w:val="0"/>
                <w:szCs w:val="21"/>
              </w:rPr>
              <w:t>包含</w:t>
            </w:r>
            <w:r>
              <w:rPr>
                <w:rFonts w:ascii="宋体" w:hAnsi="宋体"/>
                <w:bCs/>
                <w:spacing w:val="0"/>
                <w:szCs w:val="21"/>
              </w:rPr>
              <w:t>从原材料进场、过程和出场全过程</w:t>
            </w:r>
            <w:r>
              <w:rPr>
                <w:rFonts w:hint="eastAsia" w:ascii="宋体" w:hAnsi="宋体"/>
                <w:bCs/>
                <w:spacing w:val="0"/>
                <w:szCs w:val="21"/>
              </w:rPr>
              <w:t>的</w:t>
            </w:r>
            <w:r>
              <w:rPr>
                <w:rFonts w:ascii="宋体" w:hAnsi="宋体"/>
                <w:bCs/>
                <w:spacing w:val="0"/>
                <w:szCs w:val="21"/>
              </w:rPr>
              <w:t>检验和</w:t>
            </w:r>
            <w:r>
              <w:rPr>
                <w:rFonts w:hint="eastAsia" w:ascii="宋体" w:hAnsi="宋体"/>
                <w:bCs/>
                <w:spacing w:val="0"/>
                <w:szCs w:val="21"/>
              </w:rPr>
              <w:t>生产</w:t>
            </w:r>
            <w:r>
              <w:rPr>
                <w:rFonts w:ascii="宋体" w:hAnsi="宋体"/>
                <w:bCs/>
                <w:spacing w:val="0"/>
                <w:szCs w:val="21"/>
              </w:rPr>
              <w:t>记录。</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b/>
                <w:bCs/>
                <w:spacing w:val="0"/>
                <w:szCs w:val="21"/>
              </w:rPr>
            </w:pPr>
            <w:r>
              <w:rPr>
                <w:rFonts w:hint="eastAsia" w:ascii="宋体" w:hAnsi="宋体"/>
                <w:bCs/>
                <w:spacing w:val="0"/>
                <w:szCs w:val="21"/>
              </w:rPr>
              <w:t>⑤</w:t>
            </w:r>
            <w:r>
              <w:rPr>
                <w:rFonts w:ascii="宋体" w:hAnsi="宋体"/>
                <w:bCs/>
                <w:spacing w:val="0"/>
                <w:szCs w:val="21"/>
              </w:rPr>
              <w:t>按规定批次进行</w:t>
            </w:r>
            <w:r>
              <w:rPr>
                <w:rFonts w:hint="eastAsia" w:ascii="宋体" w:hAnsi="宋体"/>
                <w:bCs/>
                <w:spacing w:val="0"/>
                <w:szCs w:val="21"/>
              </w:rPr>
              <w:t>梁体</w:t>
            </w:r>
            <w:r>
              <w:rPr>
                <w:rFonts w:ascii="宋体" w:hAnsi="宋体"/>
                <w:bCs/>
                <w:spacing w:val="0"/>
                <w:szCs w:val="21"/>
              </w:rPr>
              <w:t>静载试验</w:t>
            </w:r>
            <w:r>
              <w:rPr>
                <w:rFonts w:hint="eastAsia" w:ascii="宋体" w:hAnsi="宋体"/>
                <w:b/>
                <w:bCs/>
                <w:spacing w:val="0"/>
                <w:szCs w:val="21"/>
              </w:rPr>
              <w:t>。</w:t>
            </w:r>
          </w:p>
          <w:p>
            <w:pPr>
              <w:keepNext w:val="0"/>
              <w:keepLines w:val="0"/>
              <w:pageBreakBefore w:val="0"/>
              <w:widowControl w:val="0"/>
              <w:tabs>
                <w:tab w:val="right" w:leader="dot" w:pos="9060"/>
              </w:tabs>
              <w:kinsoku/>
              <w:wordWrap/>
              <w:overflowPunct/>
              <w:topLinePunct w:val="0"/>
              <w:autoSpaceDE/>
              <w:autoSpaceDN/>
              <w:bidi w:val="0"/>
              <w:adjustRightInd w:val="0"/>
              <w:snapToGrid w:val="0"/>
              <w:spacing w:line="360" w:lineRule="exact"/>
              <w:textAlignment w:val="auto"/>
              <w:outlineLvl w:val="9"/>
              <w:rPr>
                <w:rFonts w:ascii="宋体" w:hAnsi="宋体"/>
                <w:b/>
                <w:bCs/>
                <w:spacing w:val="0"/>
                <w:szCs w:val="21"/>
              </w:rPr>
            </w:pPr>
            <w:r>
              <w:rPr>
                <w:rFonts w:hint="eastAsia" w:ascii="宋体" w:hAnsi="宋体"/>
                <w:bCs/>
                <w:spacing w:val="0"/>
                <w:szCs w:val="21"/>
              </w:rPr>
              <w:t>⑥</w:t>
            </w:r>
            <w:r>
              <w:rPr>
                <w:rFonts w:ascii="宋体" w:hAnsi="宋体"/>
                <w:bCs/>
                <w:spacing w:val="0"/>
                <w:szCs w:val="21"/>
              </w:rPr>
              <w:t>按规定批次进行</w:t>
            </w:r>
            <w:r>
              <w:rPr>
                <w:rFonts w:hint="eastAsia" w:ascii="宋体" w:hAnsi="宋体"/>
                <w:bCs/>
                <w:spacing w:val="0"/>
                <w:szCs w:val="21"/>
              </w:rPr>
              <w:t>混凝土耐久性试验</w:t>
            </w:r>
            <w:r>
              <w:rPr>
                <w:rFonts w:hint="eastAsia" w:ascii="宋体" w:hAnsi="宋体"/>
                <w:b/>
                <w:bCs/>
                <w:spacing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trike/>
                <w:color w:val="000000"/>
                <w:spacing w:val="0"/>
              </w:rPr>
            </w:pPr>
            <w:r>
              <w:rPr>
                <w:rFonts w:hint="eastAsia" w:ascii="宋体" w:hAnsi="宋体"/>
                <w:bCs/>
                <w:spacing w:val="0"/>
                <w:szCs w:val="21"/>
              </w:rPr>
              <w:t>⑦</w:t>
            </w:r>
            <w:r>
              <w:rPr>
                <w:rFonts w:ascii="宋体" w:hAnsi="宋体"/>
                <w:spacing w:val="0"/>
                <w:szCs w:val="21"/>
              </w:rPr>
              <w:t>各</w:t>
            </w:r>
            <w:r>
              <w:rPr>
                <w:rFonts w:hint="eastAsia" w:ascii="宋体" w:hAnsi="宋体"/>
                <w:spacing w:val="0"/>
                <w:szCs w:val="21"/>
              </w:rPr>
              <w:t>项</w:t>
            </w:r>
            <w:r>
              <w:rPr>
                <w:rFonts w:ascii="宋体" w:hAnsi="宋体"/>
                <w:spacing w:val="0"/>
                <w:szCs w:val="21"/>
              </w:rPr>
              <w:t>检测原始</w:t>
            </w:r>
            <w:r>
              <w:rPr>
                <w:rFonts w:hint="eastAsia" w:ascii="宋体" w:hAnsi="宋体"/>
                <w:spacing w:val="0"/>
                <w:szCs w:val="21"/>
              </w:rPr>
              <w:t>数据应</w:t>
            </w:r>
            <w:r>
              <w:rPr>
                <w:rFonts w:ascii="宋体" w:hAnsi="宋体"/>
                <w:spacing w:val="0"/>
                <w:szCs w:val="21"/>
              </w:rPr>
              <w:t>整理、汇总、统计</w:t>
            </w:r>
            <w:r>
              <w:rPr>
                <w:rFonts w:hint="eastAsia" w:ascii="宋体" w:hAnsi="宋体"/>
                <w:spacing w:val="0"/>
                <w:szCs w:val="21"/>
              </w:rPr>
              <w:t>、分析并及时</w:t>
            </w:r>
            <w:r>
              <w:rPr>
                <w:rFonts w:ascii="宋体" w:hAnsi="宋体"/>
                <w:spacing w:val="0"/>
                <w:szCs w:val="21"/>
              </w:rPr>
              <w:t>反馈、指导生产。</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A8"/>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trike/>
                <w:color w:val="000000"/>
                <w:spacing w:val="0"/>
              </w:rPr>
            </w:pPr>
            <w:r>
              <w:rPr>
                <w:rFonts w:hint="eastAsia" w:ascii="宋体" w:hAnsi="宋体"/>
                <w:bCs/>
                <w:color w:val="000000"/>
                <w:spacing w:val="0"/>
              </w:rPr>
              <w:t>出厂检验应符合相关标准的规定。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2" w:type="dxa"/>
            <w:bottom w:w="0" w:type="dxa"/>
            <w:right w:w="42" w:type="dxa"/>
          </w:tblCellMar>
        </w:tblPrEx>
        <w:trPr>
          <w:trHeight w:val="7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5.6</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宋体" w:hAnsi="宋体"/>
                <w:bCs/>
                <w:color w:val="000000"/>
                <w:spacing w:val="0"/>
              </w:rPr>
            </w:pPr>
            <w:r>
              <w:rPr>
                <w:rFonts w:hint="eastAsia" w:ascii="宋体" w:hAnsi="宋体"/>
                <w:bCs/>
                <w:color w:val="000000"/>
                <w:spacing w:val="0"/>
              </w:rPr>
              <w:t>不合格品控制</w:t>
            </w:r>
          </w:p>
        </w:tc>
        <w:tc>
          <w:tcPr>
            <w:tcW w:w="49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color w:val="000000"/>
                <w:spacing w:val="0"/>
                <w:szCs w:val="21"/>
              </w:rPr>
            </w:pPr>
            <w:r>
              <w:rPr>
                <w:rFonts w:hint="eastAsia" w:ascii="宋体" w:hAnsi="宋体"/>
                <w:bCs/>
                <w:color w:val="000000"/>
                <w:spacing w:val="0"/>
              </w:rPr>
              <w:t>26）</w:t>
            </w:r>
            <w:r>
              <w:rPr>
                <w:rFonts w:hint="eastAsia" w:ascii="宋体" w:hAnsi="宋体"/>
                <w:color w:val="000000"/>
                <w:spacing w:val="0"/>
                <w:szCs w:val="21"/>
              </w:rPr>
              <w:t>是否对不合格品的控制和处置作出明确规定并执行到位。</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bCs/>
                <w:spacing w:val="0"/>
              </w:rPr>
              <w:t>①</w:t>
            </w:r>
            <w:r>
              <w:rPr>
                <w:rFonts w:hint="eastAsia" w:ascii="宋体" w:hAnsi="宋体"/>
                <w:spacing w:val="0"/>
                <w:szCs w:val="21"/>
              </w:rPr>
              <w:t>企业应制订不合格品的控制程序。</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②应有效防止不合格原材料投入使用、不合格品转入下道工序和出厂。</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③对检验中发现的不合格品应按规定进行标识、追溯、隔离、管理，防止产品混淆，区分质量责任。</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④应规定对不合格现象的处置措施。</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spacing w:val="0"/>
                <w:szCs w:val="21"/>
              </w:rPr>
            </w:pPr>
            <w:r>
              <w:rPr>
                <w:rFonts w:hint="eastAsia" w:ascii="宋体" w:hAnsi="宋体"/>
                <w:spacing w:val="0"/>
                <w:szCs w:val="21"/>
              </w:rPr>
              <w:t>⑤</w:t>
            </w:r>
            <w:r>
              <w:rPr>
                <w:rFonts w:ascii="宋体" w:hAnsi="宋体"/>
                <w:spacing w:val="0"/>
                <w:szCs w:val="21"/>
              </w:rPr>
              <w:t>重点核查成品梁关键项目不合格的处置规定。</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spacing w:val="0"/>
              </w:rPr>
            </w:pPr>
            <w:r>
              <w:rPr>
                <w:rFonts w:hint="eastAsia" w:ascii="宋体" w:hAnsi="宋体"/>
                <w:spacing w:val="0"/>
                <w:szCs w:val="21"/>
              </w:rPr>
              <w:t>⑥</w:t>
            </w:r>
            <w:r>
              <w:rPr>
                <w:rFonts w:hint="eastAsia" w:ascii="宋体" w:hAnsi="宋体"/>
                <w:bCs/>
                <w:spacing w:val="0"/>
              </w:rPr>
              <w:t>发生静载试验不合格或混凝土耐久性试验不合格时，对所代表检验批的处置。</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hint="eastAsia" w:ascii="宋体" w:hAnsi="宋体"/>
                <w:bCs/>
                <w:spacing w:val="0"/>
              </w:rPr>
              <w:t>⑦当为申请许可证进行的静载试验不合格时，应委托有资质的检测机构对其他样品梁进行抽样检测，抽取静载试验样品梁的数量不小于1/10，且不少于3件，当全部静载试验样品梁的静载试验均合格，判委托检验合格，反之，需逐件试验。</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是；</w:t>
            </w:r>
            <w:r>
              <w:rPr>
                <w:rFonts w:ascii="宋体" w:hAnsi="宋体"/>
                <w:bCs/>
                <w:color w:val="000000"/>
                <w:spacing w:val="0"/>
              </w:rPr>
              <w:sym w:font="Wingdings" w:char="006F"/>
            </w:r>
            <w:r>
              <w:rPr>
                <w:rFonts w:hint="eastAsia" w:ascii="宋体" w:hAnsi="宋体"/>
                <w:bCs/>
                <w:color w:val="000000"/>
                <w:spacing w:val="0"/>
              </w:rPr>
              <w:t xml:space="preserve"> 否：</w:t>
            </w:r>
          </w:p>
        </w:tc>
        <w:tc>
          <w:tcPr>
            <w:tcW w:w="1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符合</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r>
              <w:rPr>
                <w:rFonts w:ascii="宋体" w:hAnsi="宋体"/>
                <w:bCs/>
                <w:color w:val="000000"/>
                <w:spacing w:val="0"/>
              </w:rPr>
              <w:sym w:font="Wingdings" w:char="006F"/>
            </w:r>
            <w:r>
              <w:rPr>
                <w:rFonts w:hint="eastAsia" w:ascii="宋体" w:hAnsi="宋体"/>
                <w:bCs/>
                <w:color w:val="000000"/>
                <w:spacing w:val="0"/>
              </w:rPr>
              <w:t xml:space="preserve"> 不符合</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宋体" w:hAnsi="宋体"/>
                <w:bCs/>
                <w:color w:val="000000"/>
                <w:spacing w:val="0"/>
              </w:rPr>
            </w:pPr>
          </w:p>
        </w:tc>
      </w:tr>
    </w:tbl>
    <w:p>
      <w:pPr>
        <w:spacing w:line="480" w:lineRule="exact"/>
        <w:sectPr>
          <w:headerReference r:id="rId11" w:type="first"/>
          <w:headerReference r:id="rId10" w:type="default"/>
          <w:footerReference r:id="rId12" w:type="default"/>
          <w:footerReference r:id="rId13" w:type="even"/>
          <w:pgSz w:w="16838" w:h="11906" w:orient="landscape"/>
          <w:pgMar w:top="1418" w:right="1418" w:bottom="1418" w:left="1418" w:header="851" w:footer="992" w:gutter="0"/>
          <w:cols w:space="720" w:num="1"/>
          <w:docGrid w:linePitch="312" w:charSpace="0"/>
        </w:sectPr>
      </w:pPr>
    </w:p>
    <w:p>
      <w:pPr>
        <w:pStyle w:val="4"/>
        <w:ind w:left="2344" w:hanging="2343" w:hangingChars="837"/>
        <w:jc w:val="left"/>
        <w:rPr>
          <w:color w:val="000000"/>
          <w:sz w:val="28"/>
          <w:szCs w:val="28"/>
        </w:rPr>
      </w:pPr>
      <w:bookmarkStart w:id="20" w:name="_Toc524357741"/>
      <w:r>
        <w:rPr>
          <w:rFonts w:hint="eastAsia"/>
          <w:b w:val="0"/>
          <w:color w:val="000000"/>
          <w:sz w:val="28"/>
          <w:szCs w:val="28"/>
        </w:rPr>
        <w:t>附件</w:t>
      </w:r>
      <w:r>
        <w:rPr>
          <w:rFonts w:hint="eastAsia" w:ascii="宋体" w:hAnsi="宋体"/>
          <w:b w:val="0"/>
          <w:color w:val="000000"/>
          <w:sz w:val="28"/>
          <w:szCs w:val="28"/>
        </w:rPr>
        <w:t>4</w:t>
      </w:r>
      <w:r>
        <w:rPr>
          <w:rFonts w:hint="eastAsia" w:ascii="宋体" w:hAnsi="宋体"/>
          <w:color w:val="000000"/>
          <w:sz w:val="28"/>
          <w:szCs w:val="28"/>
        </w:rPr>
        <w:t xml:space="preserve"> </w:t>
      </w:r>
      <w:bookmarkEnd w:id="20"/>
    </w:p>
    <w:p>
      <w:pPr>
        <w:jc w:val="center"/>
        <w:rPr>
          <w:b/>
          <w:bCs/>
          <w:sz w:val="28"/>
          <w:szCs w:val="28"/>
        </w:rPr>
      </w:pPr>
      <w:r>
        <w:rPr>
          <w:rFonts w:hint="eastAsia"/>
          <w:b/>
          <w:bCs/>
          <w:sz w:val="28"/>
          <w:szCs w:val="28"/>
        </w:rPr>
        <w:t>企业实地核查不符合和建议改进条款汇总表</w:t>
      </w:r>
    </w:p>
    <w:p>
      <w:pPr>
        <w:pStyle w:val="29"/>
        <w:tabs>
          <w:tab w:val="left" w:pos="210"/>
        </w:tabs>
        <w:snapToGrid w:val="0"/>
        <w:spacing w:line="300" w:lineRule="auto"/>
        <w:textAlignment w:val="auto"/>
        <w:rPr>
          <w:rFonts w:hAnsi="宋体"/>
          <w:color w:val="000000"/>
        </w:rPr>
      </w:pPr>
      <w:r>
        <w:rPr>
          <w:rFonts w:hint="eastAsia" w:hAnsi="宋体"/>
          <w:color w:val="000000"/>
        </w:rPr>
        <w:t>企业名称：                                       产品单元：</w:t>
      </w:r>
    </w:p>
    <w:tbl>
      <w:tblPr>
        <w:tblStyle w:val="1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1701"/>
        <w:gridCol w:w="1701"/>
        <w:gridCol w:w="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675" w:type="dxa"/>
            <w:vMerge w:val="restart"/>
            <w:vAlign w:val="center"/>
          </w:tcPr>
          <w:p>
            <w:pPr>
              <w:tabs>
                <w:tab w:val="left" w:pos="210"/>
              </w:tabs>
              <w:adjustRightInd w:val="0"/>
              <w:snapToGrid w:val="0"/>
              <w:spacing w:line="300" w:lineRule="auto"/>
              <w:jc w:val="center"/>
              <w:rPr>
                <w:rFonts w:ascii="宋体" w:hAnsi="宋体"/>
                <w:b/>
              </w:rPr>
            </w:pPr>
            <w:r>
              <w:rPr>
                <w:rFonts w:hint="eastAsia" w:ascii="宋体" w:hAnsi="宋体"/>
                <w:b/>
              </w:rPr>
              <w:t>序号</w:t>
            </w:r>
          </w:p>
        </w:tc>
        <w:tc>
          <w:tcPr>
            <w:tcW w:w="993" w:type="dxa"/>
            <w:vMerge w:val="restart"/>
            <w:vAlign w:val="center"/>
          </w:tcPr>
          <w:p>
            <w:pPr>
              <w:tabs>
                <w:tab w:val="left" w:pos="210"/>
              </w:tabs>
              <w:adjustRightInd w:val="0"/>
              <w:snapToGrid w:val="0"/>
              <w:spacing w:line="300" w:lineRule="auto"/>
              <w:jc w:val="center"/>
              <w:rPr>
                <w:rFonts w:ascii="宋体" w:hAnsi="宋体"/>
                <w:b/>
              </w:rPr>
            </w:pPr>
            <w:r>
              <w:rPr>
                <w:rFonts w:hint="eastAsia" w:ascii="宋体" w:hAnsi="宋体"/>
                <w:b/>
              </w:rPr>
              <w:t>条款号</w:t>
            </w:r>
          </w:p>
        </w:tc>
        <w:tc>
          <w:tcPr>
            <w:tcW w:w="1701" w:type="dxa"/>
            <w:vAlign w:val="center"/>
          </w:tcPr>
          <w:p>
            <w:pPr>
              <w:tabs>
                <w:tab w:val="left" w:pos="210"/>
              </w:tabs>
              <w:adjustRightInd w:val="0"/>
              <w:snapToGrid w:val="0"/>
              <w:spacing w:line="300" w:lineRule="auto"/>
              <w:jc w:val="center"/>
              <w:rPr>
                <w:rFonts w:ascii="宋体" w:hAnsi="宋体"/>
                <w:b/>
              </w:rPr>
            </w:pPr>
            <w:r>
              <w:rPr>
                <w:rFonts w:hint="eastAsia" w:ascii="宋体" w:hAnsi="宋体"/>
                <w:b/>
              </w:rPr>
              <w:t>不符合程度</w:t>
            </w:r>
          </w:p>
        </w:tc>
        <w:tc>
          <w:tcPr>
            <w:tcW w:w="5919" w:type="dxa"/>
            <w:gridSpan w:val="2"/>
            <w:vMerge w:val="restart"/>
            <w:vAlign w:val="center"/>
          </w:tcPr>
          <w:p>
            <w:pPr>
              <w:tabs>
                <w:tab w:val="left" w:pos="210"/>
              </w:tabs>
              <w:adjustRightInd w:val="0"/>
              <w:snapToGrid w:val="0"/>
              <w:spacing w:line="300" w:lineRule="auto"/>
              <w:jc w:val="center"/>
              <w:rPr>
                <w:rFonts w:ascii="宋体" w:hAnsi="宋体"/>
                <w:b/>
              </w:rPr>
            </w:pPr>
            <w:r>
              <w:rPr>
                <w:rFonts w:hint="eastAsia" w:ascii="宋体" w:hAnsi="宋体"/>
                <w:b/>
              </w:rPr>
              <w:t>事实描述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75" w:type="dxa"/>
            <w:vMerge w:val="continue"/>
            <w:vAlign w:val="center"/>
          </w:tcPr>
          <w:p>
            <w:pPr>
              <w:tabs>
                <w:tab w:val="left" w:pos="210"/>
              </w:tabs>
              <w:adjustRightInd w:val="0"/>
              <w:snapToGrid w:val="0"/>
              <w:spacing w:line="300" w:lineRule="auto"/>
              <w:jc w:val="center"/>
              <w:rPr>
                <w:rFonts w:ascii="宋体" w:hAnsi="宋体"/>
                <w:b/>
              </w:rPr>
            </w:pPr>
          </w:p>
        </w:tc>
        <w:tc>
          <w:tcPr>
            <w:tcW w:w="993" w:type="dxa"/>
            <w:vMerge w:val="continue"/>
            <w:vAlign w:val="center"/>
          </w:tcPr>
          <w:p>
            <w:pPr>
              <w:tabs>
                <w:tab w:val="left" w:pos="210"/>
              </w:tabs>
              <w:adjustRightInd w:val="0"/>
              <w:snapToGrid w:val="0"/>
              <w:spacing w:line="300" w:lineRule="auto"/>
              <w:jc w:val="center"/>
              <w:rPr>
                <w:rFonts w:ascii="宋体" w:hAnsi="宋体"/>
                <w:b/>
              </w:rPr>
            </w:pPr>
          </w:p>
        </w:tc>
        <w:tc>
          <w:tcPr>
            <w:tcW w:w="1701" w:type="dxa"/>
            <w:vAlign w:val="center"/>
          </w:tcPr>
          <w:p>
            <w:pPr>
              <w:tabs>
                <w:tab w:val="left" w:pos="210"/>
              </w:tabs>
              <w:adjustRightInd w:val="0"/>
              <w:snapToGrid w:val="0"/>
              <w:spacing w:line="300" w:lineRule="auto"/>
              <w:jc w:val="center"/>
              <w:rPr>
                <w:rFonts w:ascii="宋体" w:hAnsi="宋体"/>
                <w:b/>
              </w:rPr>
            </w:pPr>
            <w:r>
              <w:rPr>
                <w:rFonts w:hint="eastAsia" w:ascii="宋体" w:hAnsi="宋体"/>
                <w:b/>
                <w:bCs/>
                <w:color w:val="000000"/>
                <w:szCs w:val="32"/>
              </w:rPr>
              <w:t>在选框中打“√”</w:t>
            </w:r>
          </w:p>
        </w:tc>
        <w:tc>
          <w:tcPr>
            <w:tcW w:w="5919" w:type="dxa"/>
            <w:gridSpan w:val="2"/>
            <w:vMerge w:val="continue"/>
            <w:vAlign w:val="center"/>
          </w:tcPr>
          <w:p>
            <w:pPr>
              <w:tabs>
                <w:tab w:val="left" w:pos="210"/>
              </w:tabs>
              <w:adjustRightInd w:val="0"/>
              <w:snapToGrid w:val="0"/>
              <w:spacing w:line="300" w:lineRule="auto"/>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75" w:type="dxa"/>
            <w:vAlign w:val="center"/>
          </w:tcPr>
          <w:p>
            <w:pPr>
              <w:tabs>
                <w:tab w:val="left" w:pos="210"/>
              </w:tabs>
              <w:adjustRightInd w:val="0"/>
              <w:snapToGrid w:val="0"/>
              <w:spacing w:line="300" w:lineRule="auto"/>
              <w:rPr>
                <w:rFonts w:ascii="宋体" w:hAnsi="宋体"/>
              </w:rPr>
            </w:pPr>
          </w:p>
        </w:tc>
        <w:tc>
          <w:tcPr>
            <w:tcW w:w="993" w:type="dxa"/>
            <w:vAlign w:val="center"/>
          </w:tcPr>
          <w:p>
            <w:pPr>
              <w:tabs>
                <w:tab w:val="left" w:pos="210"/>
              </w:tabs>
              <w:adjustRightInd w:val="0"/>
              <w:snapToGrid w:val="0"/>
              <w:spacing w:line="300" w:lineRule="auto"/>
              <w:rPr>
                <w:rFonts w:ascii="宋体" w:hAnsi="宋体"/>
              </w:rPr>
            </w:pPr>
          </w:p>
        </w:tc>
        <w:tc>
          <w:tcPr>
            <w:tcW w:w="1701" w:type="dxa"/>
            <w:vAlign w:val="center"/>
          </w:tcPr>
          <w:p>
            <w:pPr>
              <w:adjustRightInd w:val="0"/>
              <w:snapToGrid w:val="0"/>
              <w:spacing w:line="300" w:lineRule="auto"/>
              <w:rPr>
                <w:rFonts w:ascii="宋体" w:hAnsi="宋体"/>
                <w:bCs/>
                <w:color w:val="000000"/>
              </w:rPr>
            </w:pPr>
            <w:r>
              <w:rPr>
                <w:rFonts w:hint="eastAsia" w:ascii="宋体" w:hAnsi="宋体"/>
                <w:bCs/>
                <w:color w:val="000000"/>
              </w:rPr>
              <w:sym w:font="Wingdings" w:char="F06F"/>
            </w:r>
            <w:r>
              <w:rPr>
                <w:rFonts w:hint="eastAsia" w:ascii="宋体" w:hAnsi="宋体"/>
                <w:bCs/>
                <w:color w:val="000000"/>
              </w:rPr>
              <w:t xml:space="preserve"> 不符合</w:t>
            </w:r>
          </w:p>
          <w:p>
            <w:pPr>
              <w:tabs>
                <w:tab w:val="left" w:pos="210"/>
              </w:tabs>
              <w:adjustRightInd w:val="0"/>
              <w:snapToGrid w:val="0"/>
              <w:spacing w:line="300" w:lineRule="auto"/>
              <w:rPr>
                <w:rFonts w:ascii="宋体" w:hAnsi="宋体"/>
              </w:rPr>
            </w:pPr>
            <w:r>
              <w:rPr>
                <w:rFonts w:hint="eastAsia" w:ascii="宋体" w:hAnsi="宋体"/>
                <w:bCs/>
                <w:color w:val="000000"/>
              </w:rPr>
              <w:sym w:font="Wingdings" w:char="F06F"/>
            </w:r>
            <w:r>
              <w:rPr>
                <w:rFonts w:hint="eastAsia" w:ascii="宋体" w:hAnsi="宋体"/>
                <w:bCs/>
                <w:color w:val="000000"/>
              </w:rPr>
              <w:t xml:space="preserve"> 建议改进</w:t>
            </w:r>
          </w:p>
        </w:tc>
        <w:tc>
          <w:tcPr>
            <w:tcW w:w="5919" w:type="dxa"/>
            <w:gridSpan w:val="2"/>
            <w:vAlign w:val="center"/>
          </w:tcPr>
          <w:p>
            <w:pPr>
              <w:tabs>
                <w:tab w:val="left" w:pos="210"/>
              </w:tabs>
              <w:adjustRightInd w:val="0"/>
              <w:snapToGrid w:val="0"/>
              <w:spacing w:line="30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5070" w:type="dxa"/>
            <w:gridSpan w:val="4"/>
            <w:vAlign w:val="center"/>
          </w:tcPr>
          <w:p>
            <w:pPr>
              <w:tabs>
                <w:tab w:val="left" w:pos="210"/>
              </w:tabs>
              <w:adjustRightInd w:val="0"/>
              <w:snapToGrid w:val="0"/>
              <w:rPr>
                <w:rFonts w:ascii="宋体" w:hAnsi="宋体"/>
              </w:rPr>
            </w:pPr>
            <w:r>
              <w:rPr>
                <w:rFonts w:hint="eastAsia" w:ascii="宋体" w:hAnsi="宋体"/>
              </w:rPr>
              <w:t xml:space="preserve">审查组组长(签字)：               </w:t>
            </w:r>
          </w:p>
          <w:p>
            <w:pPr>
              <w:tabs>
                <w:tab w:val="left" w:pos="210"/>
              </w:tabs>
              <w:adjustRightInd w:val="0"/>
              <w:snapToGrid w:val="0"/>
              <w:rPr>
                <w:rFonts w:ascii="宋体" w:hAnsi="宋体"/>
              </w:rPr>
            </w:pPr>
          </w:p>
          <w:p>
            <w:pPr>
              <w:tabs>
                <w:tab w:val="left" w:pos="210"/>
              </w:tabs>
              <w:adjustRightInd w:val="0"/>
              <w:snapToGrid w:val="0"/>
              <w:rPr>
                <w:rFonts w:ascii="宋体" w:hAnsi="宋体"/>
              </w:rPr>
            </w:pPr>
            <w:r>
              <w:rPr>
                <w:rFonts w:hint="eastAsia" w:ascii="宋体" w:hAnsi="宋体"/>
              </w:rPr>
              <w:t xml:space="preserve">    </w:t>
            </w:r>
          </w:p>
          <w:p>
            <w:pPr>
              <w:tabs>
                <w:tab w:val="left" w:pos="210"/>
              </w:tabs>
              <w:adjustRightInd w:val="0"/>
              <w:snapToGrid w:val="0"/>
              <w:jc w:val="right"/>
              <w:rPr>
                <w:rFonts w:ascii="宋体" w:hAnsi="宋体"/>
              </w:rPr>
            </w:pPr>
            <w:r>
              <w:rPr>
                <w:rFonts w:hint="eastAsia" w:ascii="宋体" w:hAnsi="宋体"/>
              </w:rPr>
              <w:t>年   月   日</w:t>
            </w:r>
          </w:p>
        </w:tc>
        <w:tc>
          <w:tcPr>
            <w:tcW w:w="4218" w:type="dxa"/>
            <w:vMerge w:val="restart"/>
          </w:tcPr>
          <w:p>
            <w:pPr>
              <w:tabs>
                <w:tab w:val="left" w:pos="210"/>
              </w:tabs>
              <w:adjustRightInd w:val="0"/>
              <w:snapToGrid w:val="0"/>
              <w:rPr>
                <w:rFonts w:ascii="宋体" w:hAnsi="宋体"/>
              </w:rPr>
            </w:pPr>
          </w:p>
          <w:p>
            <w:pPr>
              <w:tabs>
                <w:tab w:val="left" w:pos="210"/>
              </w:tabs>
              <w:adjustRightInd w:val="0"/>
              <w:snapToGrid w:val="0"/>
              <w:rPr>
                <w:rFonts w:ascii="宋体" w:hAnsi="宋体"/>
              </w:rPr>
            </w:pPr>
            <w:r>
              <w:rPr>
                <w:rFonts w:hint="eastAsia" w:ascii="宋体" w:hAnsi="宋体"/>
              </w:rPr>
              <w:t>企业代表签字：</w:t>
            </w:r>
          </w:p>
          <w:p>
            <w:pPr>
              <w:tabs>
                <w:tab w:val="left" w:pos="210"/>
              </w:tabs>
              <w:adjustRightInd w:val="0"/>
              <w:snapToGrid w:val="0"/>
              <w:rPr>
                <w:rFonts w:ascii="宋体" w:hAnsi="宋体"/>
              </w:rPr>
            </w:pPr>
          </w:p>
          <w:p>
            <w:pPr>
              <w:tabs>
                <w:tab w:val="left" w:pos="210"/>
              </w:tabs>
              <w:adjustRightInd w:val="0"/>
              <w:snapToGrid w:val="0"/>
              <w:rPr>
                <w:rFonts w:ascii="宋体" w:hAnsi="宋体"/>
              </w:rPr>
            </w:pPr>
          </w:p>
          <w:p>
            <w:pPr>
              <w:tabs>
                <w:tab w:val="left" w:pos="210"/>
              </w:tabs>
              <w:adjustRightInd w:val="0"/>
              <w:snapToGrid w:val="0"/>
              <w:rPr>
                <w:rFonts w:ascii="宋体" w:hAnsi="宋体"/>
              </w:rPr>
            </w:pPr>
          </w:p>
          <w:p>
            <w:pPr>
              <w:tabs>
                <w:tab w:val="left" w:pos="210"/>
              </w:tabs>
              <w:adjustRightInd w:val="0"/>
              <w:snapToGrid w:val="0"/>
              <w:ind w:right="420"/>
              <w:jc w:val="right"/>
              <w:rPr>
                <w:rFonts w:ascii="宋体" w:hAnsi="宋体"/>
              </w:rPr>
            </w:pPr>
          </w:p>
          <w:p>
            <w:pPr>
              <w:tabs>
                <w:tab w:val="left" w:pos="210"/>
              </w:tabs>
              <w:adjustRightInd w:val="0"/>
              <w:snapToGrid w:val="0"/>
              <w:ind w:right="420"/>
              <w:jc w:val="right"/>
              <w:rPr>
                <w:rFonts w:ascii="宋体" w:hAnsi="宋体"/>
              </w:rPr>
            </w:pPr>
            <w:r>
              <w:rPr>
                <w:rFonts w:hint="eastAsia" w:ascii="宋体" w:hAnsi="宋体"/>
              </w:rPr>
              <w:t>企业公章</w:t>
            </w:r>
          </w:p>
          <w:p>
            <w:pPr>
              <w:tabs>
                <w:tab w:val="left" w:pos="210"/>
              </w:tabs>
              <w:adjustRightInd w:val="0"/>
              <w:snapToGrid w:val="0"/>
              <w:ind w:right="420"/>
              <w:jc w:val="right"/>
              <w:rPr>
                <w:rFonts w:ascii="宋体" w:hAnsi="宋体"/>
              </w:rPr>
            </w:pPr>
          </w:p>
          <w:p>
            <w:pPr>
              <w:tabs>
                <w:tab w:val="left" w:pos="210"/>
              </w:tabs>
              <w:adjustRightInd w:val="0"/>
              <w:snapToGrid w:val="0"/>
              <w:ind w:right="210"/>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9" w:hRule="atLeast"/>
        </w:trPr>
        <w:tc>
          <w:tcPr>
            <w:tcW w:w="5070" w:type="dxa"/>
            <w:gridSpan w:val="4"/>
            <w:vAlign w:val="center"/>
          </w:tcPr>
          <w:p>
            <w:pPr>
              <w:tabs>
                <w:tab w:val="left" w:pos="210"/>
              </w:tabs>
              <w:adjustRightInd w:val="0"/>
              <w:snapToGrid w:val="0"/>
              <w:rPr>
                <w:rFonts w:ascii="宋体" w:hAnsi="宋体"/>
              </w:rPr>
            </w:pPr>
            <w:r>
              <w:rPr>
                <w:rFonts w:hint="eastAsia" w:ascii="宋体" w:hAnsi="宋体"/>
              </w:rPr>
              <w:t>审查组成员(签字)：</w:t>
            </w:r>
          </w:p>
          <w:p>
            <w:pPr>
              <w:tabs>
                <w:tab w:val="left" w:pos="210"/>
              </w:tabs>
              <w:adjustRightInd w:val="0"/>
              <w:snapToGrid w:val="0"/>
              <w:rPr>
                <w:rFonts w:ascii="宋体" w:hAnsi="宋体"/>
              </w:rPr>
            </w:pPr>
          </w:p>
          <w:p>
            <w:pPr>
              <w:tabs>
                <w:tab w:val="left" w:pos="210"/>
              </w:tabs>
              <w:adjustRightInd w:val="0"/>
              <w:snapToGrid w:val="0"/>
              <w:rPr>
                <w:rFonts w:ascii="宋体" w:hAnsi="宋体"/>
              </w:rPr>
            </w:pPr>
          </w:p>
          <w:p>
            <w:pPr>
              <w:tabs>
                <w:tab w:val="left" w:pos="210"/>
              </w:tabs>
              <w:adjustRightInd w:val="0"/>
              <w:snapToGrid w:val="0"/>
              <w:rPr>
                <w:rFonts w:ascii="宋体" w:hAnsi="宋体"/>
              </w:rPr>
            </w:pPr>
          </w:p>
          <w:p>
            <w:pPr>
              <w:tabs>
                <w:tab w:val="left" w:pos="210"/>
              </w:tabs>
              <w:adjustRightInd w:val="0"/>
              <w:snapToGrid w:val="0"/>
              <w:jc w:val="right"/>
              <w:rPr>
                <w:rFonts w:ascii="宋体" w:hAnsi="宋体"/>
              </w:rPr>
            </w:pPr>
            <w:r>
              <w:rPr>
                <w:rFonts w:hint="eastAsia" w:ascii="宋体" w:hAnsi="宋体"/>
              </w:rPr>
              <w:t xml:space="preserve">                年   月   日</w:t>
            </w:r>
          </w:p>
        </w:tc>
        <w:tc>
          <w:tcPr>
            <w:tcW w:w="4218" w:type="dxa"/>
            <w:vMerge w:val="continue"/>
          </w:tcPr>
          <w:p>
            <w:pPr>
              <w:tabs>
                <w:tab w:val="left" w:pos="210"/>
              </w:tabs>
              <w:adjustRightInd w:val="0"/>
              <w:snapToGrid w:val="0"/>
              <w:rPr>
                <w:rFonts w:ascii="宋体" w:hAnsi="宋体"/>
              </w:rPr>
            </w:pPr>
          </w:p>
        </w:tc>
      </w:tr>
    </w:tbl>
    <w:p/>
    <w:p>
      <w:pPr>
        <w:spacing w:line="480" w:lineRule="exact"/>
        <w:sectPr>
          <w:headerReference r:id="rId14" w:type="default"/>
          <w:pgSz w:w="11906" w:h="16838"/>
          <w:pgMar w:top="1418" w:right="1418" w:bottom="1418" w:left="1418" w:header="851" w:footer="992" w:gutter="0"/>
          <w:cols w:space="720" w:num="1"/>
          <w:docGrid w:linePitch="312" w:charSpace="0"/>
        </w:sectPr>
      </w:pPr>
    </w:p>
    <w:p>
      <w:pPr>
        <w:pStyle w:val="4"/>
        <w:ind w:left="4704" w:hanging="4704" w:hangingChars="1680"/>
        <w:rPr>
          <w:rFonts w:hint="eastAsia" w:ascii="宋体" w:hAnsi="宋体" w:eastAsia="宋体"/>
          <w:b w:val="0"/>
          <w:color w:val="000000"/>
          <w:sz w:val="28"/>
          <w:szCs w:val="28"/>
          <w:lang w:eastAsia="zh-CN"/>
        </w:rPr>
      </w:pPr>
      <w:bookmarkStart w:id="21" w:name="_Toc524357742"/>
      <w:r>
        <w:rPr>
          <w:rFonts w:hint="eastAsia"/>
          <w:b w:val="0"/>
          <w:color w:val="000000"/>
          <w:sz w:val="28"/>
          <w:szCs w:val="28"/>
        </w:rPr>
        <w:t>附件</w:t>
      </w:r>
      <w:r>
        <w:rPr>
          <w:rFonts w:hint="eastAsia" w:ascii="宋体" w:hAnsi="宋体"/>
          <w:b w:val="0"/>
          <w:color w:val="000000"/>
          <w:sz w:val="28"/>
          <w:szCs w:val="28"/>
        </w:rPr>
        <w:t>5</w:t>
      </w:r>
    </w:p>
    <w:p>
      <w:pPr>
        <w:pStyle w:val="4"/>
        <w:ind w:left="4704" w:hanging="4722" w:hangingChars="1680"/>
        <w:rPr>
          <w:rFonts w:ascii="宋体" w:hAnsi="宋体"/>
          <w:b w:val="0"/>
          <w:color w:val="000000"/>
          <w:sz w:val="28"/>
          <w:szCs w:val="28"/>
        </w:rPr>
      </w:pPr>
      <w:r>
        <w:rPr>
          <w:rFonts w:hint="eastAsia" w:ascii="宋体" w:hAnsi="宋体"/>
          <w:color w:val="000000"/>
          <w:sz w:val="28"/>
          <w:szCs w:val="28"/>
        </w:rPr>
        <w:t>生产许可证企业实地核查报告</w:t>
      </w:r>
      <w:bookmarkEnd w:id="21"/>
    </w:p>
    <w:tbl>
      <w:tblPr>
        <w:tblStyle w:val="19"/>
        <w:tblW w:w="14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7"/>
        <w:gridCol w:w="1413"/>
        <w:gridCol w:w="1348"/>
        <w:gridCol w:w="3014"/>
        <w:gridCol w:w="141"/>
        <w:gridCol w:w="1787"/>
        <w:gridCol w:w="1048"/>
        <w:gridCol w:w="709"/>
        <w:gridCol w:w="341"/>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5458" w:type="dxa"/>
            <w:gridSpan w:val="3"/>
            <w:vAlign w:val="center"/>
          </w:tcPr>
          <w:p>
            <w:pPr>
              <w:pStyle w:val="29"/>
              <w:adjustRightInd/>
              <w:spacing w:line="0" w:lineRule="atLeast"/>
              <w:textAlignment w:val="auto"/>
              <w:rPr>
                <w:rFonts w:hAnsi="宋体"/>
                <w:color w:val="000000"/>
              </w:rPr>
            </w:pPr>
            <w:r>
              <w:rPr>
                <w:rFonts w:hint="eastAsia" w:hAnsi="宋体"/>
                <w:color w:val="000000"/>
              </w:rPr>
              <w:t>企业名称：</w:t>
            </w:r>
          </w:p>
        </w:tc>
        <w:tc>
          <w:tcPr>
            <w:tcW w:w="6699" w:type="dxa"/>
            <w:gridSpan w:val="5"/>
            <w:vAlign w:val="center"/>
          </w:tcPr>
          <w:p>
            <w:pPr>
              <w:spacing w:line="0" w:lineRule="atLeast"/>
              <w:rPr>
                <w:rFonts w:ascii="宋体" w:hAnsi="宋体"/>
                <w:color w:val="000000"/>
              </w:rPr>
            </w:pPr>
            <w:r>
              <w:rPr>
                <w:rFonts w:hint="eastAsia" w:ascii="宋体" w:hAnsi="宋体"/>
                <w:color w:val="000000"/>
              </w:rPr>
              <w:t>生产地址：</w:t>
            </w:r>
          </w:p>
        </w:tc>
        <w:tc>
          <w:tcPr>
            <w:tcW w:w="2061" w:type="dxa"/>
            <w:gridSpan w:val="2"/>
            <w:vAlign w:val="center"/>
          </w:tcPr>
          <w:p>
            <w:pPr>
              <w:spacing w:line="0" w:lineRule="atLeast"/>
              <w:rPr>
                <w:rFonts w:ascii="宋体" w:hAnsi="宋体"/>
                <w:color w:val="000000"/>
              </w:rPr>
            </w:pPr>
            <w:r>
              <w:rPr>
                <w:rFonts w:hint="eastAsia" w:ascii="宋体" w:hAnsi="宋体"/>
                <w:color w:val="00000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458" w:type="dxa"/>
            <w:gridSpan w:val="3"/>
            <w:vAlign w:val="center"/>
          </w:tcPr>
          <w:p>
            <w:pPr>
              <w:spacing w:line="0" w:lineRule="atLeast"/>
              <w:rPr>
                <w:rFonts w:ascii="宋体" w:hAnsi="宋体"/>
                <w:color w:val="000000"/>
              </w:rPr>
            </w:pPr>
            <w:r>
              <w:rPr>
                <w:rFonts w:hint="eastAsia" w:ascii="宋体" w:hAnsi="宋体"/>
                <w:color w:val="000000"/>
              </w:rPr>
              <w:t xml:space="preserve">产品名称： </w:t>
            </w:r>
          </w:p>
        </w:tc>
        <w:tc>
          <w:tcPr>
            <w:tcW w:w="3155" w:type="dxa"/>
            <w:gridSpan w:val="2"/>
            <w:vAlign w:val="center"/>
          </w:tcPr>
          <w:p>
            <w:pPr>
              <w:spacing w:line="0" w:lineRule="atLeast"/>
              <w:rPr>
                <w:rFonts w:ascii="宋体" w:hAnsi="宋体"/>
                <w:color w:val="000000"/>
              </w:rPr>
            </w:pPr>
            <w:r>
              <w:rPr>
                <w:rFonts w:hint="eastAsia" w:ascii="宋体" w:hAnsi="宋体"/>
                <w:color w:val="000000"/>
              </w:rPr>
              <w:t>联系人：</w:t>
            </w:r>
          </w:p>
        </w:tc>
        <w:tc>
          <w:tcPr>
            <w:tcW w:w="2835" w:type="dxa"/>
            <w:gridSpan w:val="2"/>
            <w:vAlign w:val="center"/>
          </w:tcPr>
          <w:p>
            <w:pPr>
              <w:spacing w:line="0" w:lineRule="atLeast"/>
              <w:rPr>
                <w:rFonts w:ascii="宋体" w:hAnsi="宋体"/>
                <w:color w:val="000000"/>
              </w:rPr>
            </w:pPr>
            <w:r>
              <w:rPr>
                <w:rFonts w:hint="eastAsia" w:ascii="宋体" w:hAnsi="宋体"/>
                <w:color w:val="000000"/>
              </w:rPr>
              <w:t>电话：</w:t>
            </w:r>
          </w:p>
        </w:tc>
        <w:tc>
          <w:tcPr>
            <w:tcW w:w="2770" w:type="dxa"/>
            <w:gridSpan w:val="3"/>
            <w:vAlign w:val="center"/>
          </w:tcPr>
          <w:p>
            <w:pPr>
              <w:spacing w:line="0" w:lineRule="atLeast"/>
              <w:rPr>
                <w:rFonts w:ascii="宋体" w:hAnsi="宋体"/>
                <w:color w:val="000000"/>
              </w:rPr>
            </w:pPr>
            <w:r>
              <w:rPr>
                <w:rFonts w:hint="eastAsia" w:ascii="宋体" w:hAnsi="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4218" w:type="dxa"/>
            <w:gridSpan w:val="10"/>
            <w:vAlign w:val="center"/>
          </w:tcPr>
          <w:p>
            <w:pPr>
              <w:spacing w:line="0" w:lineRule="atLeast"/>
              <w:rPr>
                <w:rFonts w:ascii="宋体" w:hAnsi="宋体"/>
                <w:color w:val="000000"/>
              </w:rPr>
            </w:pPr>
            <w:r>
              <w:rPr>
                <w:rFonts w:hint="eastAsia" w:ascii="宋体" w:hAnsi="宋体"/>
                <w:color w:val="000000"/>
              </w:rPr>
              <w:t>产品单元、产品品种：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2697" w:type="dxa"/>
            <w:vAlign w:val="center"/>
          </w:tcPr>
          <w:p>
            <w:pPr>
              <w:spacing w:line="360" w:lineRule="auto"/>
              <w:jc w:val="center"/>
              <w:rPr>
                <w:rFonts w:ascii="宋体" w:hAnsi="宋体"/>
                <w:color w:val="000000"/>
              </w:rPr>
            </w:pPr>
            <w:r>
              <w:rPr>
                <w:rFonts w:hint="eastAsia" w:ascii="宋体" w:hAnsi="宋体"/>
                <w:color w:val="000000"/>
              </w:rPr>
              <w:t>核查</w:t>
            </w:r>
          </w:p>
          <w:p>
            <w:pPr>
              <w:spacing w:line="360" w:lineRule="auto"/>
              <w:jc w:val="center"/>
              <w:rPr>
                <w:rFonts w:ascii="宋体" w:hAnsi="宋体"/>
                <w:color w:val="000000"/>
              </w:rPr>
            </w:pPr>
            <w:r>
              <w:rPr>
                <w:rFonts w:hint="eastAsia" w:ascii="宋体" w:hAnsi="宋体"/>
                <w:color w:val="000000"/>
              </w:rPr>
              <w:t>结论</w:t>
            </w:r>
          </w:p>
        </w:tc>
        <w:tc>
          <w:tcPr>
            <w:tcW w:w="11521" w:type="dxa"/>
            <w:gridSpan w:val="9"/>
          </w:tcPr>
          <w:p>
            <w:pPr>
              <w:spacing w:beforeLines="100" w:line="360" w:lineRule="auto"/>
              <w:ind w:firstLine="420"/>
              <w:rPr>
                <w:rFonts w:ascii="宋体" w:hAnsi="宋体"/>
                <w:color w:val="000000"/>
              </w:rPr>
            </w:pPr>
            <w:r>
              <w:rPr>
                <w:rFonts w:hint="eastAsia" w:ascii="宋体" w:hAnsi="宋体"/>
                <w:color w:val="000000"/>
              </w:rPr>
              <w:t>审查组根据《预应力混凝土铁路桥简支梁产品生产许可证实施细则》，于</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日至</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___</w:t>
            </w:r>
            <w:r>
              <w:rPr>
                <w:rFonts w:hint="eastAsia" w:ascii="宋体" w:hAnsi="宋体"/>
                <w:color w:val="000000"/>
              </w:rPr>
              <w:t>日对该企业进行了核查，共计核查出：</w:t>
            </w:r>
          </w:p>
          <w:p>
            <w:pPr>
              <w:spacing w:line="360" w:lineRule="auto"/>
              <w:ind w:firstLine="420"/>
              <w:rPr>
                <w:rFonts w:ascii="宋体" w:hAnsi="宋体"/>
                <w:color w:val="000000"/>
              </w:rPr>
            </w:pPr>
            <w:r>
              <w:rPr>
                <w:rFonts w:hint="eastAsia" w:ascii="宋体" w:hAnsi="宋体"/>
                <w:color w:val="000000"/>
              </w:rPr>
              <w:t>符合</w:t>
            </w:r>
            <w:r>
              <w:rPr>
                <w:rFonts w:hint="eastAsia" w:ascii="宋体" w:hAnsi="宋体"/>
                <w:color w:val="000000"/>
                <w:u w:val="single"/>
              </w:rPr>
              <w:t>_____</w:t>
            </w:r>
            <w:r>
              <w:rPr>
                <w:rFonts w:hint="eastAsia" w:ascii="宋体" w:hAnsi="宋体"/>
                <w:color w:val="000000"/>
              </w:rPr>
              <w:t>条、不符合</w:t>
            </w:r>
            <w:r>
              <w:rPr>
                <w:rFonts w:hint="eastAsia" w:ascii="宋体" w:hAnsi="宋体"/>
                <w:color w:val="000000"/>
                <w:u w:val="single"/>
              </w:rPr>
              <w:t xml:space="preserve">      </w:t>
            </w:r>
            <w:r>
              <w:rPr>
                <w:rFonts w:hint="eastAsia" w:ascii="宋体" w:hAnsi="宋体"/>
                <w:color w:val="000000"/>
              </w:rPr>
              <w:t>条、建议改进</w:t>
            </w:r>
            <w:r>
              <w:rPr>
                <w:rFonts w:hint="eastAsia" w:ascii="宋体" w:hAnsi="宋体"/>
                <w:color w:val="000000"/>
                <w:u w:val="single"/>
              </w:rPr>
              <w:t xml:space="preserve">     </w:t>
            </w:r>
            <w:r>
              <w:rPr>
                <w:rFonts w:hint="eastAsia" w:ascii="宋体" w:hAnsi="宋体"/>
                <w:color w:val="000000"/>
              </w:rPr>
              <w:t>条。</w:t>
            </w:r>
          </w:p>
          <w:p>
            <w:pPr>
              <w:spacing w:line="360" w:lineRule="auto"/>
              <w:ind w:firstLine="420"/>
              <w:rPr>
                <w:rFonts w:ascii="宋体" w:hAnsi="宋体"/>
                <w:color w:val="000000"/>
                <w:u w:val="single"/>
              </w:rPr>
            </w:pPr>
            <w:r>
              <w:rPr>
                <w:rFonts w:hint="eastAsia" w:ascii="宋体" w:hAnsi="宋体"/>
                <w:color w:val="000000"/>
              </w:rPr>
              <w:t>其他情况说明：</w:t>
            </w:r>
            <w:r>
              <w:rPr>
                <w:rFonts w:hint="eastAsia" w:ascii="宋体" w:hAnsi="宋体"/>
                <w:color w:val="000000"/>
                <w:u w:val="single"/>
              </w:rPr>
              <w:t xml:space="preserve">                                                     </w:t>
            </w:r>
          </w:p>
          <w:p>
            <w:pPr>
              <w:spacing w:line="360" w:lineRule="auto"/>
              <w:ind w:firstLine="420"/>
              <w:rPr>
                <w:rFonts w:ascii="宋体" w:hAnsi="宋体"/>
                <w:color w:val="000000"/>
              </w:rPr>
            </w:pPr>
            <w:r>
              <w:rPr>
                <w:rFonts w:hint="eastAsia" w:ascii="宋体" w:hAnsi="宋体"/>
                <w:color w:val="000000"/>
              </w:rPr>
              <w:t>经综合评价，本审查组对该企业的核查结论是：</w:t>
            </w:r>
            <w:r>
              <w:rPr>
                <w:rFonts w:hint="eastAsia" w:ascii="宋体" w:hAnsi="宋体"/>
                <w:color w:val="000000"/>
                <w:u w:val="single"/>
              </w:rPr>
              <w:t xml:space="preserve">                   </w:t>
            </w:r>
            <w:r>
              <w:rPr>
                <w:rFonts w:hint="eastAsia" w:ascii="宋体" w:hAnsi="宋体"/>
                <w:color w:val="000000"/>
              </w:rPr>
              <w:t>。（注：核查结论填写：合格或不合格）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697" w:type="dxa"/>
            <w:vMerge w:val="restart"/>
            <w:vAlign w:val="center"/>
          </w:tcPr>
          <w:p>
            <w:pPr>
              <w:spacing w:line="360" w:lineRule="auto"/>
              <w:jc w:val="center"/>
              <w:rPr>
                <w:rFonts w:ascii="宋体" w:hAnsi="宋体"/>
                <w:color w:val="000000"/>
              </w:rPr>
            </w:pPr>
            <w:r>
              <w:rPr>
                <w:rFonts w:hint="eastAsia" w:ascii="宋体" w:hAnsi="宋体"/>
                <w:color w:val="000000"/>
              </w:rPr>
              <w:t>审查组成员</w:t>
            </w:r>
          </w:p>
        </w:tc>
        <w:tc>
          <w:tcPr>
            <w:tcW w:w="1413" w:type="dxa"/>
            <w:vAlign w:val="center"/>
          </w:tcPr>
          <w:p>
            <w:pPr>
              <w:jc w:val="center"/>
              <w:rPr>
                <w:rFonts w:ascii="宋体" w:hAnsi="宋体"/>
                <w:color w:val="000000"/>
              </w:rPr>
            </w:pPr>
            <w:r>
              <w:rPr>
                <w:rFonts w:hint="eastAsia" w:ascii="宋体" w:hAnsi="宋体"/>
                <w:color w:val="000000"/>
              </w:rPr>
              <w:t>姓名（签字）</w:t>
            </w:r>
          </w:p>
        </w:tc>
        <w:tc>
          <w:tcPr>
            <w:tcW w:w="4362" w:type="dxa"/>
            <w:gridSpan w:val="2"/>
            <w:vAlign w:val="center"/>
          </w:tcPr>
          <w:p>
            <w:pPr>
              <w:jc w:val="center"/>
              <w:rPr>
                <w:rFonts w:ascii="宋体" w:hAnsi="宋体"/>
                <w:color w:val="000000"/>
              </w:rPr>
            </w:pPr>
            <w:r>
              <w:rPr>
                <w:rFonts w:hint="eastAsia" w:ascii="宋体" w:hAnsi="宋体"/>
                <w:color w:val="000000"/>
              </w:rPr>
              <w:t>单    位</w:t>
            </w:r>
          </w:p>
        </w:tc>
        <w:tc>
          <w:tcPr>
            <w:tcW w:w="1928" w:type="dxa"/>
            <w:gridSpan w:val="2"/>
            <w:vAlign w:val="center"/>
          </w:tcPr>
          <w:p>
            <w:pPr>
              <w:jc w:val="center"/>
              <w:rPr>
                <w:rFonts w:ascii="宋体" w:hAnsi="宋体"/>
                <w:color w:val="000000"/>
              </w:rPr>
            </w:pPr>
            <w:r>
              <w:rPr>
                <w:rFonts w:hint="eastAsia" w:ascii="宋体" w:hAnsi="宋体"/>
                <w:color w:val="000000"/>
              </w:rPr>
              <w:t>职务(组长、组员)</w:t>
            </w:r>
          </w:p>
        </w:tc>
        <w:tc>
          <w:tcPr>
            <w:tcW w:w="2098" w:type="dxa"/>
            <w:gridSpan w:val="3"/>
            <w:vAlign w:val="center"/>
          </w:tcPr>
          <w:p>
            <w:pPr>
              <w:jc w:val="center"/>
              <w:rPr>
                <w:rFonts w:ascii="宋体" w:hAnsi="宋体"/>
                <w:color w:val="000000"/>
              </w:rPr>
            </w:pPr>
            <w:r>
              <w:rPr>
                <w:rFonts w:hint="eastAsia" w:ascii="宋体" w:hAnsi="宋体"/>
                <w:color w:val="000000"/>
              </w:rPr>
              <w:t>核查分工（条款）</w:t>
            </w:r>
          </w:p>
        </w:tc>
        <w:tc>
          <w:tcPr>
            <w:tcW w:w="1720" w:type="dxa"/>
            <w:vAlign w:val="center"/>
          </w:tcPr>
          <w:p>
            <w:pPr>
              <w:jc w:val="center"/>
              <w:rPr>
                <w:rFonts w:ascii="宋体" w:hAnsi="宋体"/>
                <w:color w:val="000000"/>
              </w:rPr>
            </w:pPr>
            <w:r>
              <w:rPr>
                <w:rFonts w:hint="eastAsia" w:ascii="宋体" w:hAnsi="宋体"/>
                <w:color w:val="000000"/>
              </w:rPr>
              <w:t>审查员证书编号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697" w:type="dxa"/>
            <w:vMerge w:val="continue"/>
          </w:tcPr>
          <w:p>
            <w:pPr>
              <w:spacing w:line="360" w:lineRule="auto"/>
              <w:rPr>
                <w:rFonts w:ascii="宋体" w:hAnsi="宋体"/>
                <w:color w:val="000000"/>
              </w:rPr>
            </w:pPr>
          </w:p>
        </w:tc>
        <w:tc>
          <w:tcPr>
            <w:tcW w:w="1413" w:type="dxa"/>
            <w:vAlign w:val="center"/>
          </w:tcPr>
          <w:p>
            <w:pPr>
              <w:spacing w:line="360" w:lineRule="auto"/>
              <w:jc w:val="center"/>
              <w:rPr>
                <w:rFonts w:ascii="宋体" w:hAnsi="宋体"/>
                <w:color w:val="000000"/>
              </w:rPr>
            </w:pPr>
          </w:p>
        </w:tc>
        <w:tc>
          <w:tcPr>
            <w:tcW w:w="4362" w:type="dxa"/>
            <w:gridSpan w:val="2"/>
            <w:vAlign w:val="center"/>
          </w:tcPr>
          <w:p>
            <w:pPr>
              <w:spacing w:line="360" w:lineRule="auto"/>
              <w:jc w:val="center"/>
              <w:rPr>
                <w:rFonts w:ascii="宋体" w:hAnsi="宋体"/>
                <w:color w:val="000000"/>
              </w:rPr>
            </w:pPr>
          </w:p>
        </w:tc>
        <w:tc>
          <w:tcPr>
            <w:tcW w:w="1928" w:type="dxa"/>
            <w:gridSpan w:val="2"/>
            <w:vAlign w:val="center"/>
          </w:tcPr>
          <w:p>
            <w:pPr>
              <w:spacing w:line="360" w:lineRule="auto"/>
              <w:jc w:val="center"/>
              <w:rPr>
                <w:rFonts w:ascii="宋体" w:hAnsi="宋体"/>
                <w:color w:val="000000"/>
              </w:rPr>
            </w:pPr>
          </w:p>
        </w:tc>
        <w:tc>
          <w:tcPr>
            <w:tcW w:w="2098" w:type="dxa"/>
            <w:gridSpan w:val="3"/>
            <w:vAlign w:val="center"/>
          </w:tcPr>
          <w:p>
            <w:pPr>
              <w:spacing w:line="360" w:lineRule="auto"/>
              <w:jc w:val="center"/>
              <w:rPr>
                <w:rFonts w:ascii="宋体" w:hAnsi="宋体"/>
                <w:color w:val="000000"/>
              </w:rPr>
            </w:pPr>
          </w:p>
        </w:tc>
        <w:tc>
          <w:tcPr>
            <w:tcW w:w="1720"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697" w:type="dxa"/>
            <w:vMerge w:val="continue"/>
          </w:tcPr>
          <w:p>
            <w:pPr>
              <w:spacing w:line="360" w:lineRule="auto"/>
              <w:rPr>
                <w:rFonts w:ascii="宋体" w:hAnsi="宋体"/>
                <w:color w:val="000000"/>
              </w:rPr>
            </w:pPr>
          </w:p>
        </w:tc>
        <w:tc>
          <w:tcPr>
            <w:tcW w:w="1413" w:type="dxa"/>
            <w:vAlign w:val="center"/>
          </w:tcPr>
          <w:p>
            <w:pPr>
              <w:spacing w:line="360" w:lineRule="auto"/>
              <w:jc w:val="center"/>
              <w:rPr>
                <w:rFonts w:ascii="宋体" w:hAnsi="宋体"/>
                <w:color w:val="000000"/>
              </w:rPr>
            </w:pPr>
          </w:p>
        </w:tc>
        <w:tc>
          <w:tcPr>
            <w:tcW w:w="4362" w:type="dxa"/>
            <w:gridSpan w:val="2"/>
            <w:vAlign w:val="center"/>
          </w:tcPr>
          <w:p>
            <w:pPr>
              <w:spacing w:line="360" w:lineRule="auto"/>
              <w:jc w:val="center"/>
              <w:rPr>
                <w:rFonts w:ascii="宋体" w:hAnsi="宋体"/>
                <w:color w:val="000000"/>
              </w:rPr>
            </w:pPr>
          </w:p>
        </w:tc>
        <w:tc>
          <w:tcPr>
            <w:tcW w:w="1928" w:type="dxa"/>
            <w:gridSpan w:val="2"/>
            <w:vAlign w:val="center"/>
          </w:tcPr>
          <w:p>
            <w:pPr>
              <w:spacing w:line="360" w:lineRule="auto"/>
              <w:jc w:val="center"/>
              <w:rPr>
                <w:rFonts w:ascii="宋体" w:hAnsi="宋体"/>
                <w:color w:val="000000"/>
              </w:rPr>
            </w:pPr>
          </w:p>
        </w:tc>
        <w:tc>
          <w:tcPr>
            <w:tcW w:w="2098" w:type="dxa"/>
            <w:gridSpan w:val="3"/>
            <w:vAlign w:val="center"/>
          </w:tcPr>
          <w:p>
            <w:pPr>
              <w:spacing w:line="360" w:lineRule="auto"/>
              <w:jc w:val="center"/>
              <w:rPr>
                <w:rFonts w:ascii="宋体" w:hAnsi="宋体"/>
                <w:color w:val="000000"/>
              </w:rPr>
            </w:pPr>
          </w:p>
        </w:tc>
        <w:tc>
          <w:tcPr>
            <w:tcW w:w="1720"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697" w:type="dxa"/>
            <w:vMerge w:val="continue"/>
          </w:tcPr>
          <w:p>
            <w:pPr>
              <w:spacing w:line="360" w:lineRule="auto"/>
              <w:rPr>
                <w:rFonts w:ascii="宋体" w:hAnsi="宋体"/>
                <w:color w:val="000000"/>
              </w:rPr>
            </w:pPr>
          </w:p>
        </w:tc>
        <w:tc>
          <w:tcPr>
            <w:tcW w:w="1413" w:type="dxa"/>
            <w:vAlign w:val="center"/>
          </w:tcPr>
          <w:p>
            <w:pPr>
              <w:spacing w:line="360" w:lineRule="auto"/>
              <w:jc w:val="center"/>
              <w:rPr>
                <w:rFonts w:ascii="宋体" w:hAnsi="宋体"/>
                <w:color w:val="000000"/>
              </w:rPr>
            </w:pPr>
          </w:p>
        </w:tc>
        <w:tc>
          <w:tcPr>
            <w:tcW w:w="4362" w:type="dxa"/>
            <w:gridSpan w:val="2"/>
            <w:vAlign w:val="center"/>
          </w:tcPr>
          <w:p>
            <w:pPr>
              <w:spacing w:line="360" w:lineRule="auto"/>
              <w:jc w:val="center"/>
              <w:rPr>
                <w:rFonts w:ascii="宋体" w:hAnsi="宋体"/>
                <w:color w:val="000000"/>
              </w:rPr>
            </w:pPr>
          </w:p>
        </w:tc>
        <w:tc>
          <w:tcPr>
            <w:tcW w:w="1928" w:type="dxa"/>
            <w:gridSpan w:val="2"/>
            <w:vAlign w:val="center"/>
          </w:tcPr>
          <w:p>
            <w:pPr>
              <w:spacing w:line="360" w:lineRule="auto"/>
              <w:jc w:val="center"/>
              <w:rPr>
                <w:rFonts w:ascii="宋体" w:hAnsi="宋体"/>
                <w:color w:val="000000"/>
              </w:rPr>
            </w:pPr>
          </w:p>
        </w:tc>
        <w:tc>
          <w:tcPr>
            <w:tcW w:w="2098" w:type="dxa"/>
            <w:gridSpan w:val="3"/>
            <w:vAlign w:val="center"/>
          </w:tcPr>
          <w:p>
            <w:pPr>
              <w:spacing w:line="360" w:lineRule="auto"/>
              <w:jc w:val="center"/>
              <w:rPr>
                <w:rFonts w:ascii="宋体" w:hAnsi="宋体"/>
                <w:color w:val="000000"/>
              </w:rPr>
            </w:pPr>
          </w:p>
        </w:tc>
        <w:tc>
          <w:tcPr>
            <w:tcW w:w="1720" w:type="dxa"/>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2697" w:type="dxa"/>
            <w:vAlign w:val="center"/>
          </w:tcPr>
          <w:p>
            <w:pPr>
              <w:jc w:val="center"/>
              <w:rPr>
                <w:rFonts w:ascii="宋体" w:hAnsi="宋体"/>
                <w:color w:val="000000"/>
              </w:rPr>
            </w:pPr>
            <w:r>
              <w:rPr>
                <w:rFonts w:hint="eastAsia" w:ascii="宋体" w:hAnsi="宋体"/>
                <w:color w:val="000000"/>
              </w:rPr>
              <w:t>企业负责人签字</w:t>
            </w:r>
          </w:p>
        </w:tc>
        <w:tc>
          <w:tcPr>
            <w:tcW w:w="5775" w:type="dxa"/>
            <w:gridSpan w:val="3"/>
            <w:vAlign w:val="center"/>
          </w:tcPr>
          <w:p>
            <w:pPr>
              <w:jc w:val="center"/>
              <w:rPr>
                <w:rFonts w:ascii="宋体" w:hAnsi="宋体"/>
                <w:color w:val="000000"/>
              </w:rPr>
            </w:pPr>
          </w:p>
        </w:tc>
        <w:tc>
          <w:tcPr>
            <w:tcW w:w="5746" w:type="dxa"/>
            <w:gridSpan w:val="6"/>
            <w:vAlign w:val="center"/>
          </w:tcPr>
          <w:p>
            <w:pPr>
              <w:jc w:val="left"/>
              <w:rPr>
                <w:rFonts w:ascii="宋体" w:hAnsi="宋体"/>
                <w:color w:val="000000"/>
              </w:rPr>
            </w:pPr>
            <w:r>
              <w:rPr>
                <w:rFonts w:hint="eastAsia" w:ascii="宋体" w:hAnsi="宋体"/>
                <w:color w:val="000000"/>
              </w:rPr>
              <w:t xml:space="preserve">企业（盖章）                     </w:t>
            </w:r>
            <w:r>
              <w:rPr>
                <w:rFonts w:hint="eastAsia" w:ascii="宋体" w:hAnsi="宋体"/>
                <w:color w:val="000000"/>
                <w:szCs w:val="18"/>
              </w:rPr>
              <w:t>年    月    日</w:t>
            </w:r>
          </w:p>
        </w:tc>
      </w:tr>
    </w:tbl>
    <w:p>
      <w:pPr>
        <w:tabs>
          <w:tab w:val="left" w:pos="210"/>
        </w:tabs>
        <w:adjustRightInd w:val="0"/>
        <w:snapToGrid w:val="0"/>
        <w:spacing w:line="300" w:lineRule="auto"/>
        <w:jc w:val="left"/>
        <w:rPr>
          <w:rFonts w:ascii="宋体" w:hAnsi="宋体"/>
          <w:color w:val="000000"/>
          <w:sz w:val="10"/>
          <w:szCs w:val="10"/>
        </w:rPr>
      </w:pPr>
    </w:p>
    <w:p>
      <w:pPr>
        <w:tabs>
          <w:tab w:val="left" w:pos="210"/>
        </w:tabs>
        <w:adjustRightInd w:val="0"/>
        <w:snapToGrid w:val="0"/>
        <w:spacing w:line="480" w:lineRule="auto"/>
        <w:rPr>
          <w:rFonts w:ascii="宋体" w:hAnsi="宋体"/>
          <w:color w:val="000000"/>
          <w:szCs w:val="18"/>
        </w:rPr>
      </w:pPr>
      <w:r>
        <w:rPr>
          <w:rFonts w:hint="eastAsia" w:ascii="宋体" w:hAnsi="宋体"/>
          <w:color w:val="000000"/>
          <w:szCs w:val="18"/>
        </w:rPr>
        <w:t>观察员(签字</w:t>
      </w:r>
      <w:r>
        <w:rPr>
          <w:rFonts w:hint="eastAsia" w:ascii="宋体" w:hAnsi="宋体"/>
          <w:szCs w:val="18"/>
        </w:rPr>
        <w:t>，如有</w:t>
      </w:r>
      <w:r>
        <w:rPr>
          <w:rFonts w:hint="eastAsia" w:ascii="宋体" w:hAnsi="宋体"/>
          <w:color w:val="000000"/>
          <w:szCs w:val="18"/>
        </w:rPr>
        <w:t xml:space="preserve">)：                        年    月    日                   审查组织单位(章)：                      年    月    日  </w:t>
      </w:r>
    </w:p>
    <w:p>
      <w:pPr>
        <w:tabs>
          <w:tab w:val="left" w:pos="0"/>
        </w:tabs>
        <w:adjustRightInd w:val="0"/>
        <w:snapToGrid w:val="0"/>
        <w:spacing w:line="300" w:lineRule="auto"/>
        <w:sectPr>
          <w:pgSz w:w="16838" w:h="11906" w:orient="landscape"/>
          <w:pgMar w:top="1418" w:right="1418" w:bottom="1418" w:left="1418" w:header="851" w:footer="992" w:gutter="0"/>
          <w:cols w:space="720" w:num="1"/>
          <w:docGrid w:linePitch="312" w:charSpace="0"/>
        </w:sectPr>
      </w:pPr>
      <w:r>
        <w:rPr>
          <w:rFonts w:hint="eastAsia"/>
        </w:rPr>
        <w:t>注：“其他情况说明”栏中填写的内容为：企业存在不符合法律法规等有关规定，且不能体现在实地核查记录中的情况，如企业存在因非不可抗力原因拖延或拒绝核查的情况等。</w:t>
      </w:r>
    </w:p>
    <w:bookmarkEnd w:id="6"/>
    <w:p>
      <w:pPr>
        <w:widowControl/>
        <w:jc w:val="left"/>
        <w:rPr>
          <w:rFonts w:cs="Calibri" w:asciiTheme="minorEastAsia" w:hAnsiTheme="minorEastAsia" w:eastAsiaTheme="minorEastAsia"/>
          <w:color w:val="000000"/>
          <w:kern w:val="0"/>
          <w:szCs w:val="21"/>
        </w:rPr>
      </w:pPr>
    </w:p>
    <w:p>
      <w:pPr>
        <w:pStyle w:val="4"/>
        <w:ind w:left="1847" w:hanging="1847" w:hangingChars="657"/>
        <w:rPr>
          <w:rFonts w:ascii="宋体" w:hAnsi="宋体"/>
          <w:color w:val="000000"/>
          <w:sz w:val="28"/>
          <w:szCs w:val="28"/>
        </w:rPr>
      </w:pPr>
      <w:bookmarkStart w:id="22" w:name="_Toc524357747"/>
      <w:r>
        <w:rPr>
          <w:rFonts w:hint="eastAsia" w:ascii="宋体" w:hAnsi="宋体"/>
          <w:color w:val="000000"/>
          <w:sz w:val="28"/>
          <w:szCs w:val="28"/>
        </w:rPr>
        <w:t xml:space="preserve">附件6 </w:t>
      </w:r>
    </w:p>
    <w:p>
      <w:pPr>
        <w:jc w:val="center"/>
        <w:rPr>
          <w:b/>
          <w:szCs w:val="21"/>
        </w:rPr>
      </w:pPr>
      <w:r>
        <w:rPr>
          <w:rFonts w:hint="eastAsia"/>
          <w:b/>
          <w:szCs w:val="21"/>
        </w:rPr>
        <w:t>本实施细则与旧版细则主要内容对比表</w:t>
      </w:r>
      <w:bookmarkEnd w:id="22"/>
    </w:p>
    <w:p>
      <w:pPr>
        <w:jc w:val="center"/>
        <w:rPr>
          <w:rFonts w:ascii="宋体" w:hAnsi="宋体"/>
          <w:b/>
          <w:sz w:val="24"/>
          <w:szCs w:val="24"/>
        </w:rPr>
      </w:pPr>
    </w:p>
    <w:p>
      <w:pPr>
        <w:jc w:val="center"/>
        <w:rPr>
          <w:b/>
          <w:szCs w:val="21"/>
        </w:rPr>
      </w:pPr>
      <w:r>
        <w:rPr>
          <w:rFonts w:hint="eastAsia" w:ascii="宋体" w:hAnsi="宋体"/>
          <w:b/>
          <w:szCs w:val="21"/>
        </w:rPr>
        <w:t>表1</w:t>
      </w:r>
      <w:r>
        <w:rPr>
          <w:rFonts w:ascii="宋体" w:hAnsi="宋体"/>
          <w:b/>
          <w:szCs w:val="21"/>
        </w:rPr>
        <w:t xml:space="preserve">    </w:t>
      </w:r>
      <w:r>
        <w:rPr>
          <w:b/>
          <w:szCs w:val="21"/>
        </w:rPr>
        <w:t>必备检验设备变化对比表</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010"/>
        <w:gridCol w:w="2650"/>
        <w:gridCol w:w="2449"/>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3" w:type="dxa"/>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序号</w:t>
            </w:r>
          </w:p>
        </w:tc>
        <w:tc>
          <w:tcPr>
            <w:tcW w:w="2010" w:type="dxa"/>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产品单元（新版）</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主要检验设备（新版）</w:t>
            </w:r>
          </w:p>
        </w:tc>
        <w:tc>
          <w:tcPr>
            <w:tcW w:w="2449" w:type="dxa"/>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主要检验设备（旧版）</w:t>
            </w:r>
          </w:p>
        </w:tc>
        <w:tc>
          <w:tcPr>
            <w:tcW w:w="1434" w:type="dxa"/>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b/>
                <w:szCs w:val="21"/>
              </w:rPr>
            </w:pPr>
            <w:r>
              <w:rPr>
                <w:rFonts w:hint="eastAsia"/>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1</w:t>
            </w:r>
          </w:p>
        </w:tc>
        <w:tc>
          <w:tcPr>
            <w:tcW w:w="2010" w:type="dxa"/>
            <w:vMerge w:val="restart"/>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rFonts w:ascii="宋体" w:hAnsi="宋体" w:cs="宋体"/>
                <w:kern w:val="0"/>
                <w:szCs w:val="21"/>
              </w:rPr>
            </w:pPr>
            <w:r>
              <w:rPr>
                <w:rFonts w:hint="eastAsia" w:ascii="宋体" w:hAnsi="宋体" w:cs="宋体"/>
                <w:kern w:val="0"/>
                <w:szCs w:val="21"/>
              </w:rPr>
              <w:t>后张法预应力混凝土铁路桥简支梁/</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ascii="宋体" w:hAnsi="宋体" w:cs="宋体"/>
                <w:kern w:val="0"/>
                <w:szCs w:val="21"/>
              </w:rPr>
              <w:t>先张法预应力混凝土铁路桥简支梁</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钢板尺</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量筒</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容器</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数显深度尺</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ascii="宋体" w:hAnsi="宋体" w:cs="宋体"/>
                <w:kern w:val="0"/>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插入式测温仪</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010" w:type="dxa"/>
            <w:vMerge w:val="continue"/>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p>
        </w:tc>
        <w:tc>
          <w:tcPr>
            <w:tcW w:w="2650"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outlineLvl w:val="9"/>
              <w:rPr>
                <w:szCs w:val="21"/>
              </w:rPr>
            </w:pPr>
            <w:r>
              <w:rPr>
                <w:rFonts w:hint="eastAsia"/>
                <w:szCs w:val="21"/>
              </w:rPr>
              <w:t>/</w:t>
            </w:r>
          </w:p>
        </w:tc>
        <w:tc>
          <w:tcPr>
            <w:tcW w:w="2449"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left"/>
              <w:textAlignment w:val="baseline"/>
              <w:outlineLvl w:val="9"/>
              <w:rPr>
                <w:rFonts w:eastAsiaTheme="minorEastAsia"/>
                <w:sz w:val="18"/>
                <w:szCs w:val="18"/>
              </w:rPr>
            </w:pPr>
            <w:r>
              <w:rPr>
                <w:rFonts w:hint="eastAsia" w:cs="宋体" w:asciiTheme="minorEastAsia" w:hAnsiTheme="minorEastAsia" w:eastAsiaTheme="minorEastAsia"/>
                <w:kern w:val="0"/>
                <w:szCs w:val="21"/>
              </w:rPr>
              <w:t>钢卷尺</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jc w:val="center"/>
              <w:textAlignment w:val="baseline"/>
              <w:outlineLvl w:val="9"/>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取消</w:t>
            </w:r>
          </w:p>
        </w:tc>
      </w:tr>
    </w:tbl>
    <w:p>
      <w:pPr>
        <w:rPr>
          <w:color w:val="000000"/>
          <w:szCs w:val="21"/>
        </w:rPr>
      </w:pPr>
    </w:p>
    <w:p>
      <w:pPr>
        <w:rPr>
          <w:color w:val="000000"/>
          <w:szCs w:val="21"/>
        </w:rPr>
      </w:pPr>
      <w:r>
        <w:rPr>
          <w:color w:val="000000"/>
          <w:szCs w:val="21"/>
        </w:rPr>
        <w:t>产品单元品种划分</w:t>
      </w:r>
      <w:r>
        <w:rPr>
          <w:rFonts w:hint="eastAsia"/>
          <w:color w:val="000000"/>
          <w:szCs w:val="21"/>
        </w:rPr>
        <w:t>、产品标准、必备生产设备和工艺装备与2016版细则相比无变化。</w:t>
      </w:r>
    </w:p>
    <w:bookmarkEnd w:id="23"/>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MS+Sans+Serif">
    <w:altName w:val="黑体"/>
    <w:panose1 w:val="00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ind w:firstLine="210" w:firstLineChars="10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I</w:t>
    </w:r>
    <w:r>
      <w:fldChar w:fldCharType="end"/>
    </w:r>
  </w:p>
  <w:p>
    <w:pPr>
      <w:pStyle w:val="12"/>
      <w:wordWrap w:val="0"/>
      <w:jc w:val="right"/>
      <w:rPr>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rPr>
    </w:pPr>
    <w:r>
      <w:rPr>
        <w:sz w:val="21"/>
      </w:rPr>
      <w:fldChar w:fldCharType="begin"/>
    </w:r>
    <w:r>
      <w:rPr>
        <w:rStyle w:val="22"/>
        <w:sz w:val="21"/>
      </w:rPr>
      <w:instrText xml:space="preserve"> PAGE </w:instrText>
    </w:r>
    <w:r>
      <w:rPr>
        <w:sz w:val="21"/>
      </w:rPr>
      <w:fldChar w:fldCharType="separate"/>
    </w:r>
    <w:r>
      <w:rPr>
        <w:rStyle w:val="22"/>
        <w:sz w:val="21"/>
      </w:rPr>
      <w:t>1</w:t>
    </w:r>
    <w:r>
      <w:rPr>
        <w:sz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10" w:firstLineChars="100"/>
      <w:rPr>
        <w:sz w:val="21"/>
      </w:rPr>
    </w:pPr>
    <w:r>
      <w:rPr>
        <w:sz w:val="21"/>
      </w:rPr>
      <w:fldChar w:fldCharType="begin"/>
    </w:r>
    <w:r>
      <w:rPr>
        <w:rStyle w:val="22"/>
        <w:sz w:val="21"/>
      </w:rPr>
      <w:instrText xml:space="preserve"> PAGE </w:instrText>
    </w:r>
    <w:r>
      <w:rPr>
        <w:sz w:val="21"/>
      </w:rPr>
      <w:fldChar w:fldCharType="separate"/>
    </w:r>
    <w:r>
      <w:rPr>
        <w:rStyle w:val="22"/>
        <w:sz w:val="21"/>
      </w:rPr>
      <w:t>18</w:t>
    </w:r>
    <w:r>
      <w:rPr>
        <w:sz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rPr>
    </w:pPr>
    <w:r>
      <w:rPr>
        <w:sz w:val="21"/>
      </w:rPr>
      <w:fldChar w:fldCharType="begin"/>
    </w:r>
    <w:r>
      <w:rPr>
        <w:rStyle w:val="22"/>
        <w:sz w:val="21"/>
      </w:rPr>
      <w:instrText xml:space="preserve"> PAGE </w:instrText>
    </w:r>
    <w:r>
      <w:rPr>
        <w:sz w:val="21"/>
      </w:rPr>
      <w:fldChar w:fldCharType="separate"/>
    </w:r>
    <w:r>
      <w:rPr>
        <w:rStyle w:val="22"/>
        <w:sz w:val="21"/>
      </w:rPr>
      <w:t>57</w:t>
    </w:r>
    <w:r>
      <w:rPr>
        <w:sz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10" w:firstLineChars="100"/>
      <w:rPr>
        <w:sz w:val="21"/>
      </w:rPr>
    </w:pPr>
    <w:r>
      <w:rPr>
        <w:sz w:val="21"/>
      </w:rPr>
      <w:fldChar w:fldCharType="begin"/>
    </w:r>
    <w:r>
      <w:rPr>
        <w:rStyle w:val="22"/>
        <w:sz w:val="21"/>
      </w:rPr>
      <w:instrText xml:space="preserve"> PAGE </w:instrText>
    </w:r>
    <w:r>
      <w:rPr>
        <w:sz w:val="21"/>
      </w:rPr>
      <w:fldChar w:fldCharType="separate"/>
    </w:r>
    <w:r>
      <w:rPr>
        <w:rStyle w:val="22"/>
        <w:sz w:val="21"/>
      </w:rPr>
      <w:t>18</w:t>
    </w:r>
    <w:r>
      <w:rPr>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140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42" w:type="dxa"/>
        <w:bottom w:w="0" w:type="dxa"/>
        <w:right w:w="42" w:type="dxa"/>
      </w:tblCellMar>
    </w:tblPr>
    <w:tblGrid>
      <w:gridCol w:w="766"/>
      <w:gridCol w:w="725"/>
      <w:gridCol w:w="4945"/>
      <w:gridCol w:w="2967"/>
      <w:gridCol w:w="1900"/>
      <w:gridCol w:w="2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blHeader/>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序号</w:t>
          </w:r>
        </w:p>
      </w:tc>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w:t>
          </w:r>
        </w:p>
        <w:p>
          <w:pPr>
            <w:adjustRightInd w:val="0"/>
            <w:snapToGrid w:val="0"/>
            <w:spacing w:line="300" w:lineRule="auto"/>
            <w:jc w:val="center"/>
            <w:rPr>
              <w:rFonts w:ascii="宋体" w:hAnsi="宋体"/>
              <w:b/>
              <w:bCs/>
              <w:color w:val="000000"/>
            </w:rPr>
          </w:pPr>
          <w:r>
            <w:rPr>
              <w:rFonts w:hint="eastAsia" w:ascii="宋体" w:hAnsi="宋体"/>
              <w:b/>
              <w:bCs/>
              <w:color w:val="000000"/>
            </w:rPr>
            <w:t>项目</w:t>
          </w:r>
        </w:p>
      </w:tc>
      <w:tc>
        <w:tcPr>
          <w:tcW w:w="4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审查内容和要点</w:t>
          </w:r>
        </w:p>
      </w:tc>
      <w:tc>
        <w:tcPr>
          <w:tcW w:w="2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审查情况</w:t>
          </w:r>
        </w:p>
      </w:tc>
      <w:tc>
        <w:tcPr>
          <w:tcW w:w="1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FF0000"/>
            </w:rPr>
          </w:pPr>
          <w:r>
            <w:rPr>
              <w:rFonts w:hint="eastAsia" w:ascii="宋体" w:hAnsi="宋体"/>
              <w:b/>
              <w:bCs/>
              <w:color w:val="000000"/>
            </w:rPr>
            <w:t>结论</w:t>
          </w:r>
        </w:p>
      </w:tc>
      <w:tc>
        <w:tcPr>
          <w:tcW w:w="2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备注</w:t>
          </w:r>
        </w:p>
      </w:tc>
    </w:tr>
  </w:tbl>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754AA"/>
    <w:multiLevelType w:val="multilevel"/>
    <w:tmpl w:val="052754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DE4210"/>
    <w:multiLevelType w:val="multilevel"/>
    <w:tmpl w:val="1BDE421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337CCB"/>
    <w:multiLevelType w:val="multilevel"/>
    <w:tmpl w:val="3D337C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BEF674E"/>
    <w:multiLevelType w:val="multilevel"/>
    <w:tmpl w:val="4BEF674E"/>
    <w:lvl w:ilvl="0" w:tentative="0">
      <w:start w:val="1"/>
      <w:numFmt w:val="japaneseCounting"/>
      <w:lvlText w:val="第%1条"/>
      <w:lvlJc w:val="left"/>
      <w:pPr>
        <w:ind w:left="704" w:hanging="420"/>
      </w:pPr>
      <w:rPr>
        <w:rFonts w:hint="default"/>
        <w:b w:val="0"/>
        <w:i w:val="0"/>
        <w:color w:val="auto"/>
        <w:sz w:val="21"/>
        <w:szCs w:val="21"/>
        <w:lang w:val="en-US"/>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64960B88"/>
    <w:multiLevelType w:val="multilevel"/>
    <w:tmpl w:val="64960B8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F97838"/>
    <w:multiLevelType w:val="multilevel"/>
    <w:tmpl w:val="64F97838"/>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YzFlN2FkYTM1MjgzNzU4MTZhZjlkZjAyZTlhOGYifQ=="/>
  </w:docVars>
  <w:rsids>
    <w:rsidRoot w:val="00172A27"/>
    <w:rsid w:val="00000EAC"/>
    <w:rsid w:val="000016E3"/>
    <w:rsid w:val="000031F0"/>
    <w:rsid w:val="00003A95"/>
    <w:rsid w:val="00003D91"/>
    <w:rsid w:val="00003F19"/>
    <w:rsid w:val="00005ACA"/>
    <w:rsid w:val="00005CEA"/>
    <w:rsid w:val="000068B7"/>
    <w:rsid w:val="00013B59"/>
    <w:rsid w:val="0001434A"/>
    <w:rsid w:val="00014516"/>
    <w:rsid w:val="000156BC"/>
    <w:rsid w:val="00015A2E"/>
    <w:rsid w:val="00015E50"/>
    <w:rsid w:val="000164A5"/>
    <w:rsid w:val="00016AD9"/>
    <w:rsid w:val="00016D3D"/>
    <w:rsid w:val="00017C7D"/>
    <w:rsid w:val="00021147"/>
    <w:rsid w:val="0002168D"/>
    <w:rsid w:val="0002242D"/>
    <w:rsid w:val="000244EB"/>
    <w:rsid w:val="0002478A"/>
    <w:rsid w:val="00024A93"/>
    <w:rsid w:val="00025653"/>
    <w:rsid w:val="000257C9"/>
    <w:rsid w:val="00025D8B"/>
    <w:rsid w:val="00026058"/>
    <w:rsid w:val="00026295"/>
    <w:rsid w:val="0002728C"/>
    <w:rsid w:val="000306F9"/>
    <w:rsid w:val="00030E2B"/>
    <w:rsid w:val="00032D11"/>
    <w:rsid w:val="00033234"/>
    <w:rsid w:val="00033CE0"/>
    <w:rsid w:val="00033EF0"/>
    <w:rsid w:val="000342F1"/>
    <w:rsid w:val="000347BA"/>
    <w:rsid w:val="0003492C"/>
    <w:rsid w:val="00035A5D"/>
    <w:rsid w:val="00041BEC"/>
    <w:rsid w:val="0004249C"/>
    <w:rsid w:val="00043CCE"/>
    <w:rsid w:val="00044720"/>
    <w:rsid w:val="00044723"/>
    <w:rsid w:val="00046AA2"/>
    <w:rsid w:val="00047381"/>
    <w:rsid w:val="0005014A"/>
    <w:rsid w:val="00050AC0"/>
    <w:rsid w:val="000528BE"/>
    <w:rsid w:val="000538A9"/>
    <w:rsid w:val="000544A5"/>
    <w:rsid w:val="000558DA"/>
    <w:rsid w:val="00055AAC"/>
    <w:rsid w:val="00057E4D"/>
    <w:rsid w:val="000631F1"/>
    <w:rsid w:val="0006500B"/>
    <w:rsid w:val="000655A6"/>
    <w:rsid w:val="000663D1"/>
    <w:rsid w:val="00067C7A"/>
    <w:rsid w:val="0007045C"/>
    <w:rsid w:val="00070736"/>
    <w:rsid w:val="00070E86"/>
    <w:rsid w:val="00070F89"/>
    <w:rsid w:val="000710AF"/>
    <w:rsid w:val="00071D9C"/>
    <w:rsid w:val="0007372E"/>
    <w:rsid w:val="00073B26"/>
    <w:rsid w:val="00073B8A"/>
    <w:rsid w:val="00073D3E"/>
    <w:rsid w:val="000752C4"/>
    <w:rsid w:val="00076119"/>
    <w:rsid w:val="00081F21"/>
    <w:rsid w:val="00081F6F"/>
    <w:rsid w:val="00082600"/>
    <w:rsid w:val="00082A10"/>
    <w:rsid w:val="00082DC1"/>
    <w:rsid w:val="00085546"/>
    <w:rsid w:val="00090367"/>
    <w:rsid w:val="000904F8"/>
    <w:rsid w:val="000908F4"/>
    <w:rsid w:val="00091119"/>
    <w:rsid w:val="000911BE"/>
    <w:rsid w:val="00092746"/>
    <w:rsid w:val="0009338E"/>
    <w:rsid w:val="000952A0"/>
    <w:rsid w:val="00095879"/>
    <w:rsid w:val="0009711D"/>
    <w:rsid w:val="000A04B0"/>
    <w:rsid w:val="000A0C0F"/>
    <w:rsid w:val="000A1646"/>
    <w:rsid w:val="000A2946"/>
    <w:rsid w:val="000A2D6A"/>
    <w:rsid w:val="000A3410"/>
    <w:rsid w:val="000A5BD4"/>
    <w:rsid w:val="000A67E9"/>
    <w:rsid w:val="000A7C2E"/>
    <w:rsid w:val="000B08ED"/>
    <w:rsid w:val="000B2196"/>
    <w:rsid w:val="000B2A14"/>
    <w:rsid w:val="000B4177"/>
    <w:rsid w:val="000B44AA"/>
    <w:rsid w:val="000B496B"/>
    <w:rsid w:val="000B7935"/>
    <w:rsid w:val="000B7ACE"/>
    <w:rsid w:val="000C01E1"/>
    <w:rsid w:val="000C0B5C"/>
    <w:rsid w:val="000C2CFE"/>
    <w:rsid w:val="000C303B"/>
    <w:rsid w:val="000C3AA3"/>
    <w:rsid w:val="000C599A"/>
    <w:rsid w:val="000C5B24"/>
    <w:rsid w:val="000C6E1F"/>
    <w:rsid w:val="000C7001"/>
    <w:rsid w:val="000C7132"/>
    <w:rsid w:val="000D2726"/>
    <w:rsid w:val="000D3118"/>
    <w:rsid w:val="000D3318"/>
    <w:rsid w:val="000D4160"/>
    <w:rsid w:val="000D6365"/>
    <w:rsid w:val="000D7480"/>
    <w:rsid w:val="000E2CB0"/>
    <w:rsid w:val="000E2E48"/>
    <w:rsid w:val="000E38AD"/>
    <w:rsid w:val="000E3933"/>
    <w:rsid w:val="000E402E"/>
    <w:rsid w:val="000E5BB6"/>
    <w:rsid w:val="000E615A"/>
    <w:rsid w:val="000E6DC2"/>
    <w:rsid w:val="000E7344"/>
    <w:rsid w:val="000F0204"/>
    <w:rsid w:val="000F0C05"/>
    <w:rsid w:val="000F0C75"/>
    <w:rsid w:val="000F178E"/>
    <w:rsid w:val="000F326E"/>
    <w:rsid w:val="000F5424"/>
    <w:rsid w:val="000F5BAC"/>
    <w:rsid w:val="000F5D00"/>
    <w:rsid w:val="000F5FDE"/>
    <w:rsid w:val="000F7645"/>
    <w:rsid w:val="001003A1"/>
    <w:rsid w:val="00100590"/>
    <w:rsid w:val="00100DC8"/>
    <w:rsid w:val="00103991"/>
    <w:rsid w:val="00103F4C"/>
    <w:rsid w:val="00104A2E"/>
    <w:rsid w:val="00105064"/>
    <w:rsid w:val="001056C6"/>
    <w:rsid w:val="00107118"/>
    <w:rsid w:val="0010746F"/>
    <w:rsid w:val="0010767D"/>
    <w:rsid w:val="00107B24"/>
    <w:rsid w:val="00110B5E"/>
    <w:rsid w:val="00112495"/>
    <w:rsid w:val="0011250C"/>
    <w:rsid w:val="001127FB"/>
    <w:rsid w:val="00112A36"/>
    <w:rsid w:val="0011388D"/>
    <w:rsid w:val="00113ADE"/>
    <w:rsid w:val="00113B3C"/>
    <w:rsid w:val="00114009"/>
    <w:rsid w:val="001148C2"/>
    <w:rsid w:val="00116743"/>
    <w:rsid w:val="001167A2"/>
    <w:rsid w:val="00117839"/>
    <w:rsid w:val="00120DA1"/>
    <w:rsid w:val="001213F6"/>
    <w:rsid w:val="00123385"/>
    <w:rsid w:val="00124F75"/>
    <w:rsid w:val="00125A27"/>
    <w:rsid w:val="0012664C"/>
    <w:rsid w:val="001275F4"/>
    <w:rsid w:val="0012766B"/>
    <w:rsid w:val="00127FC7"/>
    <w:rsid w:val="00130BDB"/>
    <w:rsid w:val="00130BE5"/>
    <w:rsid w:val="00132B7B"/>
    <w:rsid w:val="001337FD"/>
    <w:rsid w:val="00133AFE"/>
    <w:rsid w:val="00134921"/>
    <w:rsid w:val="0013507A"/>
    <w:rsid w:val="001376FF"/>
    <w:rsid w:val="001377EC"/>
    <w:rsid w:val="00137E36"/>
    <w:rsid w:val="0014034E"/>
    <w:rsid w:val="00140E7D"/>
    <w:rsid w:val="0014163E"/>
    <w:rsid w:val="00141697"/>
    <w:rsid w:val="001416B2"/>
    <w:rsid w:val="00141A8A"/>
    <w:rsid w:val="00142015"/>
    <w:rsid w:val="001443A3"/>
    <w:rsid w:val="00144BD4"/>
    <w:rsid w:val="001459D5"/>
    <w:rsid w:val="001459EE"/>
    <w:rsid w:val="00145A79"/>
    <w:rsid w:val="001461D7"/>
    <w:rsid w:val="0014771C"/>
    <w:rsid w:val="001508F5"/>
    <w:rsid w:val="00150BA0"/>
    <w:rsid w:val="0015223E"/>
    <w:rsid w:val="00152728"/>
    <w:rsid w:val="00153753"/>
    <w:rsid w:val="00153EAD"/>
    <w:rsid w:val="00153F4D"/>
    <w:rsid w:val="00154782"/>
    <w:rsid w:val="001549A4"/>
    <w:rsid w:val="00154FD8"/>
    <w:rsid w:val="00155D26"/>
    <w:rsid w:val="001567F9"/>
    <w:rsid w:val="00157355"/>
    <w:rsid w:val="00157DB7"/>
    <w:rsid w:val="0016035F"/>
    <w:rsid w:val="0016086E"/>
    <w:rsid w:val="00162437"/>
    <w:rsid w:val="0016399E"/>
    <w:rsid w:val="00165D84"/>
    <w:rsid w:val="001663DF"/>
    <w:rsid w:val="00167F81"/>
    <w:rsid w:val="00170044"/>
    <w:rsid w:val="00171F10"/>
    <w:rsid w:val="00172350"/>
    <w:rsid w:val="0017295F"/>
    <w:rsid w:val="00172A27"/>
    <w:rsid w:val="00173AE3"/>
    <w:rsid w:val="00173D1E"/>
    <w:rsid w:val="00176EAD"/>
    <w:rsid w:val="00180EFF"/>
    <w:rsid w:val="001826F4"/>
    <w:rsid w:val="00182A99"/>
    <w:rsid w:val="00184383"/>
    <w:rsid w:val="0018448D"/>
    <w:rsid w:val="00187B65"/>
    <w:rsid w:val="00187B71"/>
    <w:rsid w:val="00187BEB"/>
    <w:rsid w:val="00187CBB"/>
    <w:rsid w:val="00187FA0"/>
    <w:rsid w:val="0019082A"/>
    <w:rsid w:val="001920AE"/>
    <w:rsid w:val="001926BC"/>
    <w:rsid w:val="00192906"/>
    <w:rsid w:val="001929B8"/>
    <w:rsid w:val="0019414C"/>
    <w:rsid w:val="001963C9"/>
    <w:rsid w:val="001969AD"/>
    <w:rsid w:val="00196A9C"/>
    <w:rsid w:val="00197366"/>
    <w:rsid w:val="00197B09"/>
    <w:rsid w:val="001A1AC6"/>
    <w:rsid w:val="001A2036"/>
    <w:rsid w:val="001A233B"/>
    <w:rsid w:val="001A3124"/>
    <w:rsid w:val="001A4E22"/>
    <w:rsid w:val="001A6D31"/>
    <w:rsid w:val="001A6DF1"/>
    <w:rsid w:val="001A6E0A"/>
    <w:rsid w:val="001A77AE"/>
    <w:rsid w:val="001B0373"/>
    <w:rsid w:val="001B0EE3"/>
    <w:rsid w:val="001B2775"/>
    <w:rsid w:val="001B305F"/>
    <w:rsid w:val="001B3692"/>
    <w:rsid w:val="001B3F5E"/>
    <w:rsid w:val="001B4143"/>
    <w:rsid w:val="001B4714"/>
    <w:rsid w:val="001B5BE7"/>
    <w:rsid w:val="001B647C"/>
    <w:rsid w:val="001B6584"/>
    <w:rsid w:val="001C0372"/>
    <w:rsid w:val="001C03BC"/>
    <w:rsid w:val="001C17A0"/>
    <w:rsid w:val="001C1912"/>
    <w:rsid w:val="001C1CE1"/>
    <w:rsid w:val="001C249A"/>
    <w:rsid w:val="001C29E5"/>
    <w:rsid w:val="001C3AF5"/>
    <w:rsid w:val="001C62EB"/>
    <w:rsid w:val="001C6DF4"/>
    <w:rsid w:val="001C7625"/>
    <w:rsid w:val="001D2F00"/>
    <w:rsid w:val="001D386A"/>
    <w:rsid w:val="001D3AF3"/>
    <w:rsid w:val="001D4369"/>
    <w:rsid w:val="001D571E"/>
    <w:rsid w:val="001D5C74"/>
    <w:rsid w:val="001D5F45"/>
    <w:rsid w:val="001D773B"/>
    <w:rsid w:val="001E133E"/>
    <w:rsid w:val="001E213D"/>
    <w:rsid w:val="001E4B88"/>
    <w:rsid w:val="001E5C7D"/>
    <w:rsid w:val="001E60F4"/>
    <w:rsid w:val="001E7578"/>
    <w:rsid w:val="001E7887"/>
    <w:rsid w:val="001F036A"/>
    <w:rsid w:val="001F139B"/>
    <w:rsid w:val="001F18C4"/>
    <w:rsid w:val="001F2BFC"/>
    <w:rsid w:val="001F30B7"/>
    <w:rsid w:val="001F3196"/>
    <w:rsid w:val="001F3B44"/>
    <w:rsid w:val="001F4F18"/>
    <w:rsid w:val="001F53BF"/>
    <w:rsid w:val="001F68E1"/>
    <w:rsid w:val="001F6F61"/>
    <w:rsid w:val="0020120E"/>
    <w:rsid w:val="0020222B"/>
    <w:rsid w:val="00203190"/>
    <w:rsid w:val="002036CB"/>
    <w:rsid w:val="002053CE"/>
    <w:rsid w:val="002056CB"/>
    <w:rsid w:val="002059AC"/>
    <w:rsid w:val="00206BDE"/>
    <w:rsid w:val="00206E22"/>
    <w:rsid w:val="00210D74"/>
    <w:rsid w:val="00211C43"/>
    <w:rsid w:val="00211C82"/>
    <w:rsid w:val="00211EF3"/>
    <w:rsid w:val="00215633"/>
    <w:rsid w:val="00215A2B"/>
    <w:rsid w:val="002164A4"/>
    <w:rsid w:val="002166CE"/>
    <w:rsid w:val="00217013"/>
    <w:rsid w:val="00217361"/>
    <w:rsid w:val="00217904"/>
    <w:rsid w:val="00220E2C"/>
    <w:rsid w:val="002212D4"/>
    <w:rsid w:val="00221CAF"/>
    <w:rsid w:val="00221E2E"/>
    <w:rsid w:val="002247F1"/>
    <w:rsid w:val="00225631"/>
    <w:rsid w:val="00225EF3"/>
    <w:rsid w:val="00227AC6"/>
    <w:rsid w:val="00231028"/>
    <w:rsid w:val="00231375"/>
    <w:rsid w:val="00231F27"/>
    <w:rsid w:val="00232A62"/>
    <w:rsid w:val="00232B79"/>
    <w:rsid w:val="0023466F"/>
    <w:rsid w:val="00234C49"/>
    <w:rsid w:val="002351CD"/>
    <w:rsid w:val="00235674"/>
    <w:rsid w:val="00236488"/>
    <w:rsid w:val="00240C26"/>
    <w:rsid w:val="00241605"/>
    <w:rsid w:val="00241E64"/>
    <w:rsid w:val="00243118"/>
    <w:rsid w:val="00243AA0"/>
    <w:rsid w:val="00244DA5"/>
    <w:rsid w:val="00245066"/>
    <w:rsid w:val="00245488"/>
    <w:rsid w:val="00245AEF"/>
    <w:rsid w:val="00245EB6"/>
    <w:rsid w:val="002460D7"/>
    <w:rsid w:val="00247155"/>
    <w:rsid w:val="00247286"/>
    <w:rsid w:val="00247421"/>
    <w:rsid w:val="00250736"/>
    <w:rsid w:val="00250D8D"/>
    <w:rsid w:val="00250F7D"/>
    <w:rsid w:val="00252F13"/>
    <w:rsid w:val="00255243"/>
    <w:rsid w:val="002555AD"/>
    <w:rsid w:val="00255D10"/>
    <w:rsid w:val="00257962"/>
    <w:rsid w:val="00257FEE"/>
    <w:rsid w:val="00261FFE"/>
    <w:rsid w:val="00262C33"/>
    <w:rsid w:val="00262EE9"/>
    <w:rsid w:val="00263135"/>
    <w:rsid w:val="002633CB"/>
    <w:rsid w:val="00263556"/>
    <w:rsid w:val="00263EEA"/>
    <w:rsid w:val="0026436B"/>
    <w:rsid w:val="00264385"/>
    <w:rsid w:val="00265669"/>
    <w:rsid w:val="00265E33"/>
    <w:rsid w:val="00270ACA"/>
    <w:rsid w:val="00270E83"/>
    <w:rsid w:val="00270F2C"/>
    <w:rsid w:val="00271B34"/>
    <w:rsid w:val="002720B8"/>
    <w:rsid w:val="002730CA"/>
    <w:rsid w:val="00274502"/>
    <w:rsid w:val="002745A4"/>
    <w:rsid w:val="002745BD"/>
    <w:rsid w:val="00277A71"/>
    <w:rsid w:val="00281335"/>
    <w:rsid w:val="0028150D"/>
    <w:rsid w:val="00281810"/>
    <w:rsid w:val="00282879"/>
    <w:rsid w:val="00282E6B"/>
    <w:rsid w:val="00283912"/>
    <w:rsid w:val="00283BBD"/>
    <w:rsid w:val="002844DB"/>
    <w:rsid w:val="00284632"/>
    <w:rsid w:val="002850A9"/>
    <w:rsid w:val="002851D6"/>
    <w:rsid w:val="00290AD6"/>
    <w:rsid w:val="00290BF1"/>
    <w:rsid w:val="00292982"/>
    <w:rsid w:val="00292ED3"/>
    <w:rsid w:val="0029445D"/>
    <w:rsid w:val="00294A73"/>
    <w:rsid w:val="0029564A"/>
    <w:rsid w:val="002967AB"/>
    <w:rsid w:val="00297323"/>
    <w:rsid w:val="002975EA"/>
    <w:rsid w:val="002A0FAD"/>
    <w:rsid w:val="002A26F9"/>
    <w:rsid w:val="002A3632"/>
    <w:rsid w:val="002A42D1"/>
    <w:rsid w:val="002A4343"/>
    <w:rsid w:val="002A4397"/>
    <w:rsid w:val="002A4C9E"/>
    <w:rsid w:val="002A5425"/>
    <w:rsid w:val="002A637C"/>
    <w:rsid w:val="002A6C44"/>
    <w:rsid w:val="002A6F97"/>
    <w:rsid w:val="002A74C1"/>
    <w:rsid w:val="002B02D6"/>
    <w:rsid w:val="002B13B9"/>
    <w:rsid w:val="002B1DF0"/>
    <w:rsid w:val="002B274A"/>
    <w:rsid w:val="002B2B56"/>
    <w:rsid w:val="002B34C1"/>
    <w:rsid w:val="002B3552"/>
    <w:rsid w:val="002B3B20"/>
    <w:rsid w:val="002B4DC1"/>
    <w:rsid w:val="002B4EBF"/>
    <w:rsid w:val="002B52EF"/>
    <w:rsid w:val="002B7BC8"/>
    <w:rsid w:val="002C0EDE"/>
    <w:rsid w:val="002C2F30"/>
    <w:rsid w:val="002C30C9"/>
    <w:rsid w:val="002C34F8"/>
    <w:rsid w:val="002C43FF"/>
    <w:rsid w:val="002C44A8"/>
    <w:rsid w:val="002C492B"/>
    <w:rsid w:val="002C5BF2"/>
    <w:rsid w:val="002C6637"/>
    <w:rsid w:val="002D0221"/>
    <w:rsid w:val="002D1A8E"/>
    <w:rsid w:val="002D311C"/>
    <w:rsid w:val="002D3FC0"/>
    <w:rsid w:val="002D4B73"/>
    <w:rsid w:val="002D601C"/>
    <w:rsid w:val="002D64D9"/>
    <w:rsid w:val="002E04D2"/>
    <w:rsid w:val="002E0A09"/>
    <w:rsid w:val="002E1DDD"/>
    <w:rsid w:val="002E2681"/>
    <w:rsid w:val="002E2C22"/>
    <w:rsid w:val="002E3562"/>
    <w:rsid w:val="002E35D4"/>
    <w:rsid w:val="002E5AAA"/>
    <w:rsid w:val="002E5D2E"/>
    <w:rsid w:val="002E6205"/>
    <w:rsid w:val="002E665C"/>
    <w:rsid w:val="002E6F4F"/>
    <w:rsid w:val="002F13F9"/>
    <w:rsid w:val="002F1F87"/>
    <w:rsid w:val="002F2273"/>
    <w:rsid w:val="002F22E3"/>
    <w:rsid w:val="002F25BF"/>
    <w:rsid w:val="002F2870"/>
    <w:rsid w:val="002F3060"/>
    <w:rsid w:val="002F3837"/>
    <w:rsid w:val="002F4AC2"/>
    <w:rsid w:val="002F58E9"/>
    <w:rsid w:val="002F5F4D"/>
    <w:rsid w:val="002F7DF1"/>
    <w:rsid w:val="003007A3"/>
    <w:rsid w:val="003011A8"/>
    <w:rsid w:val="00302996"/>
    <w:rsid w:val="003030C9"/>
    <w:rsid w:val="00303A0A"/>
    <w:rsid w:val="00303D8E"/>
    <w:rsid w:val="0030487F"/>
    <w:rsid w:val="00305141"/>
    <w:rsid w:val="003053F7"/>
    <w:rsid w:val="0030587D"/>
    <w:rsid w:val="003058C2"/>
    <w:rsid w:val="00306350"/>
    <w:rsid w:val="00306C00"/>
    <w:rsid w:val="00310B66"/>
    <w:rsid w:val="003118A4"/>
    <w:rsid w:val="0031309E"/>
    <w:rsid w:val="00313481"/>
    <w:rsid w:val="00313745"/>
    <w:rsid w:val="00314E68"/>
    <w:rsid w:val="003155CF"/>
    <w:rsid w:val="003161D3"/>
    <w:rsid w:val="00317029"/>
    <w:rsid w:val="00317B31"/>
    <w:rsid w:val="003202F5"/>
    <w:rsid w:val="00320B83"/>
    <w:rsid w:val="00321010"/>
    <w:rsid w:val="00321733"/>
    <w:rsid w:val="00322044"/>
    <w:rsid w:val="0032263A"/>
    <w:rsid w:val="00323673"/>
    <w:rsid w:val="00324315"/>
    <w:rsid w:val="0032516F"/>
    <w:rsid w:val="00326204"/>
    <w:rsid w:val="003262E9"/>
    <w:rsid w:val="00327DFE"/>
    <w:rsid w:val="003306BE"/>
    <w:rsid w:val="00330A04"/>
    <w:rsid w:val="00330EEB"/>
    <w:rsid w:val="00331F2D"/>
    <w:rsid w:val="003331F2"/>
    <w:rsid w:val="00334D21"/>
    <w:rsid w:val="003360D2"/>
    <w:rsid w:val="00337556"/>
    <w:rsid w:val="00337572"/>
    <w:rsid w:val="003400F3"/>
    <w:rsid w:val="00340A5A"/>
    <w:rsid w:val="00340E9A"/>
    <w:rsid w:val="003410C7"/>
    <w:rsid w:val="00343BA9"/>
    <w:rsid w:val="003444B1"/>
    <w:rsid w:val="00344B17"/>
    <w:rsid w:val="00344F2E"/>
    <w:rsid w:val="00345237"/>
    <w:rsid w:val="00345C33"/>
    <w:rsid w:val="00345EF1"/>
    <w:rsid w:val="00346123"/>
    <w:rsid w:val="003465FD"/>
    <w:rsid w:val="00346871"/>
    <w:rsid w:val="0034745B"/>
    <w:rsid w:val="00347514"/>
    <w:rsid w:val="0035232E"/>
    <w:rsid w:val="00352C60"/>
    <w:rsid w:val="00354A73"/>
    <w:rsid w:val="003559DB"/>
    <w:rsid w:val="003560A1"/>
    <w:rsid w:val="00356E73"/>
    <w:rsid w:val="003602F9"/>
    <w:rsid w:val="00361005"/>
    <w:rsid w:val="00361DA2"/>
    <w:rsid w:val="00361EC9"/>
    <w:rsid w:val="00363271"/>
    <w:rsid w:val="0036329A"/>
    <w:rsid w:val="00363D5C"/>
    <w:rsid w:val="00364F61"/>
    <w:rsid w:val="00365174"/>
    <w:rsid w:val="00365211"/>
    <w:rsid w:val="00366432"/>
    <w:rsid w:val="00366D40"/>
    <w:rsid w:val="0036700D"/>
    <w:rsid w:val="0036709C"/>
    <w:rsid w:val="00367B25"/>
    <w:rsid w:val="00370106"/>
    <w:rsid w:val="00370D2E"/>
    <w:rsid w:val="00371EE4"/>
    <w:rsid w:val="00372821"/>
    <w:rsid w:val="003748A6"/>
    <w:rsid w:val="00374B66"/>
    <w:rsid w:val="00375633"/>
    <w:rsid w:val="00376017"/>
    <w:rsid w:val="00376693"/>
    <w:rsid w:val="00376A97"/>
    <w:rsid w:val="0037725E"/>
    <w:rsid w:val="00380FC9"/>
    <w:rsid w:val="00382E92"/>
    <w:rsid w:val="0038317C"/>
    <w:rsid w:val="00383660"/>
    <w:rsid w:val="00384389"/>
    <w:rsid w:val="0038530B"/>
    <w:rsid w:val="00386398"/>
    <w:rsid w:val="003868BF"/>
    <w:rsid w:val="00390E38"/>
    <w:rsid w:val="003925D1"/>
    <w:rsid w:val="0039290D"/>
    <w:rsid w:val="00393C82"/>
    <w:rsid w:val="0039409A"/>
    <w:rsid w:val="003941E8"/>
    <w:rsid w:val="003950E4"/>
    <w:rsid w:val="0039709D"/>
    <w:rsid w:val="003A03A7"/>
    <w:rsid w:val="003A065C"/>
    <w:rsid w:val="003A2500"/>
    <w:rsid w:val="003A3F50"/>
    <w:rsid w:val="003A54B8"/>
    <w:rsid w:val="003A6A33"/>
    <w:rsid w:val="003A6DA1"/>
    <w:rsid w:val="003B02DF"/>
    <w:rsid w:val="003B0D9A"/>
    <w:rsid w:val="003B0EA8"/>
    <w:rsid w:val="003B2B87"/>
    <w:rsid w:val="003B3E4E"/>
    <w:rsid w:val="003B4AE8"/>
    <w:rsid w:val="003B5166"/>
    <w:rsid w:val="003B520F"/>
    <w:rsid w:val="003C00D8"/>
    <w:rsid w:val="003C1AD1"/>
    <w:rsid w:val="003C1ECD"/>
    <w:rsid w:val="003C2B64"/>
    <w:rsid w:val="003C2D14"/>
    <w:rsid w:val="003C3582"/>
    <w:rsid w:val="003C4024"/>
    <w:rsid w:val="003C5FDF"/>
    <w:rsid w:val="003C6EB8"/>
    <w:rsid w:val="003C76AB"/>
    <w:rsid w:val="003D0AB9"/>
    <w:rsid w:val="003D17CE"/>
    <w:rsid w:val="003D1E0B"/>
    <w:rsid w:val="003D1E7C"/>
    <w:rsid w:val="003D231E"/>
    <w:rsid w:val="003D2EE6"/>
    <w:rsid w:val="003D385C"/>
    <w:rsid w:val="003D3EB1"/>
    <w:rsid w:val="003D4BAF"/>
    <w:rsid w:val="003D4F95"/>
    <w:rsid w:val="003D58D8"/>
    <w:rsid w:val="003D5E31"/>
    <w:rsid w:val="003D66F1"/>
    <w:rsid w:val="003D6E26"/>
    <w:rsid w:val="003E154B"/>
    <w:rsid w:val="003E1A25"/>
    <w:rsid w:val="003E347D"/>
    <w:rsid w:val="003E4950"/>
    <w:rsid w:val="003E51DA"/>
    <w:rsid w:val="003E5DBC"/>
    <w:rsid w:val="003E6B92"/>
    <w:rsid w:val="003F0446"/>
    <w:rsid w:val="003F0659"/>
    <w:rsid w:val="003F06F2"/>
    <w:rsid w:val="003F0C92"/>
    <w:rsid w:val="003F13A6"/>
    <w:rsid w:val="003F1705"/>
    <w:rsid w:val="003F287E"/>
    <w:rsid w:val="003F37A7"/>
    <w:rsid w:val="003F3BAE"/>
    <w:rsid w:val="003F5450"/>
    <w:rsid w:val="003F5B81"/>
    <w:rsid w:val="003F6EB7"/>
    <w:rsid w:val="0040010D"/>
    <w:rsid w:val="00400AAF"/>
    <w:rsid w:val="00401E27"/>
    <w:rsid w:val="00401E5D"/>
    <w:rsid w:val="00402849"/>
    <w:rsid w:val="00402B1A"/>
    <w:rsid w:val="0040310F"/>
    <w:rsid w:val="004035C9"/>
    <w:rsid w:val="0040480C"/>
    <w:rsid w:val="00405723"/>
    <w:rsid w:val="004059A2"/>
    <w:rsid w:val="004108E1"/>
    <w:rsid w:val="004116B4"/>
    <w:rsid w:val="00411F31"/>
    <w:rsid w:val="00412230"/>
    <w:rsid w:val="00412CCD"/>
    <w:rsid w:val="0041390C"/>
    <w:rsid w:val="00414E90"/>
    <w:rsid w:val="004161E6"/>
    <w:rsid w:val="00416CE2"/>
    <w:rsid w:val="00417622"/>
    <w:rsid w:val="004200BC"/>
    <w:rsid w:val="004214D5"/>
    <w:rsid w:val="0042194E"/>
    <w:rsid w:val="00422698"/>
    <w:rsid w:val="00422B1B"/>
    <w:rsid w:val="004304B8"/>
    <w:rsid w:val="004314F8"/>
    <w:rsid w:val="00432249"/>
    <w:rsid w:val="00433355"/>
    <w:rsid w:val="00434BBF"/>
    <w:rsid w:val="00434E12"/>
    <w:rsid w:val="00435015"/>
    <w:rsid w:val="00435D13"/>
    <w:rsid w:val="004363FA"/>
    <w:rsid w:val="00436A20"/>
    <w:rsid w:val="00436EC2"/>
    <w:rsid w:val="004401DE"/>
    <w:rsid w:val="00441331"/>
    <w:rsid w:val="00441C18"/>
    <w:rsid w:val="00442534"/>
    <w:rsid w:val="004428D3"/>
    <w:rsid w:val="00443A29"/>
    <w:rsid w:val="00446186"/>
    <w:rsid w:val="004517C0"/>
    <w:rsid w:val="004527B7"/>
    <w:rsid w:val="00452C5C"/>
    <w:rsid w:val="004538AB"/>
    <w:rsid w:val="00453B44"/>
    <w:rsid w:val="00453C23"/>
    <w:rsid w:val="004540EC"/>
    <w:rsid w:val="00454763"/>
    <w:rsid w:val="00455F1A"/>
    <w:rsid w:val="00456BFA"/>
    <w:rsid w:val="004574C2"/>
    <w:rsid w:val="00457B1D"/>
    <w:rsid w:val="00460CB7"/>
    <w:rsid w:val="00460DFC"/>
    <w:rsid w:val="00460EB8"/>
    <w:rsid w:val="00461AD4"/>
    <w:rsid w:val="00464962"/>
    <w:rsid w:val="004709D1"/>
    <w:rsid w:val="00472558"/>
    <w:rsid w:val="004727ED"/>
    <w:rsid w:val="00472FC1"/>
    <w:rsid w:val="004739CB"/>
    <w:rsid w:val="00477858"/>
    <w:rsid w:val="00477906"/>
    <w:rsid w:val="0048176C"/>
    <w:rsid w:val="004818D4"/>
    <w:rsid w:val="00481D00"/>
    <w:rsid w:val="0048265F"/>
    <w:rsid w:val="00482F75"/>
    <w:rsid w:val="00483309"/>
    <w:rsid w:val="00483877"/>
    <w:rsid w:val="00484150"/>
    <w:rsid w:val="00484492"/>
    <w:rsid w:val="00484F86"/>
    <w:rsid w:val="00487196"/>
    <w:rsid w:val="004871F7"/>
    <w:rsid w:val="00490BE2"/>
    <w:rsid w:val="00490DD8"/>
    <w:rsid w:val="0049231B"/>
    <w:rsid w:val="00492353"/>
    <w:rsid w:val="004926AF"/>
    <w:rsid w:val="00494348"/>
    <w:rsid w:val="00494B6E"/>
    <w:rsid w:val="00494EE2"/>
    <w:rsid w:val="0049529A"/>
    <w:rsid w:val="00496F87"/>
    <w:rsid w:val="0049710D"/>
    <w:rsid w:val="0049766B"/>
    <w:rsid w:val="00497D34"/>
    <w:rsid w:val="004A09A1"/>
    <w:rsid w:val="004A0CCD"/>
    <w:rsid w:val="004A0EB2"/>
    <w:rsid w:val="004A1CA0"/>
    <w:rsid w:val="004A5A07"/>
    <w:rsid w:val="004A5ABC"/>
    <w:rsid w:val="004A5F16"/>
    <w:rsid w:val="004A6934"/>
    <w:rsid w:val="004B1375"/>
    <w:rsid w:val="004B27E6"/>
    <w:rsid w:val="004B2F68"/>
    <w:rsid w:val="004B364B"/>
    <w:rsid w:val="004B3B6B"/>
    <w:rsid w:val="004B441B"/>
    <w:rsid w:val="004B4648"/>
    <w:rsid w:val="004B4AC1"/>
    <w:rsid w:val="004B4B87"/>
    <w:rsid w:val="004B5B7F"/>
    <w:rsid w:val="004B5C0C"/>
    <w:rsid w:val="004B6488"/>
    <w:rsid w:val="004B6BCF"/>
    <w:rsid w:val="004B6DD2"/>
    <w:rsid w:val="004B7B52"/>
    <w:rsid w:val="004B7D2F"/>
    <w:rsid w:val="004B7E23"/>
    <w:rsid w:val="004C06ED"/>
    <w:rsid w:val="004C0A2A"/>
    <w:rsid w:val="004C19D9"/>
    <w:rsid w:val="004C238E"/>
    <w:rsid w:val="004C33BD"/>
    <w:rsid w:val="004C3800"/>
    <w:rsid w:val="004C4019"/>
    <w:rsid w:val="004C6181"/>
    <w:rsid w:val="004C6944"/>
    <w:rsid w:val="004C6C25"/>
    <w:rsid w:val="004C7B20"/>
    <w:rsid w:val="004D0318"/>
    <w:rsid w:val="004D0CAC"/>
    <w:rsid w:val="004D0DA3"/>
    <w:rsid w:val="004D2BD2"/>
    <w:rsid w:val="004D3162"/>
    <w:rsid w:val="004D42B6"/>
    <w:rsid w:val="004D512B"/>
    <w:rsid w:val="004D526D"/>
    <w:rsid w:val="004D553C"/>
    <w:rsid w:val="004D6305"/>
    <w:rsid w:val="004D6361"/>
    <w:rsid w:val="004E3433"/>
    <w:rsid w:val="004E374A"/>
    <w:rsid w:val="004E39BF"/>
    <w:rsid w:val="004E4154"/>
    <w:rsid w:val="004E4A8D"/>
    <w:rsid w:val="004E50EB"/>
    <w:rsid w:val="004E5A85"/>
    <w:rsid w:val="004E64C2"/>
    <w:rsid w:val="004F0296"/>
    <w:rsid w:val="004F042F"/>
    <w:rsid w:val="004F081B"/>
    <w:rsid w:val="004F0895"/>
    <w:rsid w:val="004F10D8"/>
    <w:rsid w:val="004F4688"/>
    <w:rsid w:val="004F5B04"/>
    <w:rsid w:val="004F7656"/>
    <w:rsid w:val="004F781C"/>
    <w:rsid w:val="005027FC"/>
    <w:rsid w:val="00503105"/>
    <w:rsid w:val="00503CA1"/>
    <w:rsid w:val="005044F7"/>
    <w:rsid w:val="005046CB"/>
    <w:rsid w:val="00505821"/>
    <w:rsid w:val="0050731C"/>
    <w:rsid w:val="00507AEE"/>
    <w:rsid w:val="0051086A"/>
    <w:rsid w:val="00510DAD"/>
    <w:rsid w:val="00511115"/>
    <w:rsid w:val="00511CB1"/>
    <w:rsid w:val="00512474"/>
    <w:rsid w:val="00512542"/>
    <w:rsid w:val="0051368F"/>
    <w:rsid w:val="00513922"/>
    <w:rsid w:val="00513C88"/>
    <w:rsid w:val="00514554"/>
    <w:rsid w:val="0051463B"/>
    <w:rsid w:val="00515814"/>
    <w:rsid w:val="005159CB"/>
    <w:rsid w:val="00515D8F"/>
    <w:rsid w:val="005174D0"/>
    <w:rsid w:val="00517C4A"/>
    <w:rsid w:val="00517F59"/>
    <w:rsid w:val="00517FE5"/>
    <w:rsid w:val="0052089D"/>
    <w:rsid w:val="00521D58"/>
    <w:rsid w:val="00524907"/>
    <w:rsid w:val="00524AFA"/>
    <w:rsid w:val="0052652C"/>
    <w:rsid w:val="00527FD3"/>
    <w:rsid w:val="00530662"/>
    <w:rsid w:val="00531952"/>
    <w:rsid w:val="00532E13"/>
    <w:rsid w:val="0053539F"/>
    <w:rsid w:val="005358F3"/>
    <w:rsid w:val="005368FE"/>
    <w:rsid w:val="0054076B"/>
    <w:rsid w:val="00546011"/>
    <w:rsid w:val="0054752D"/>
    <w:rsid w:val="0055063C"/>
    <w:rsid w:val="00550654"/>
    <w:rsid w:val="00550D05"/>
    <w:rsid w:val="0055156D"/>
    <w:rsid w:val="00552221"/>
    <w:rsid w:val="00552A28"/>
    <w:rsid w:val="00552C3B"/>
    <w:rsid w:val="005531F9"/>
    <w:rsid w:val="0055340F"/>
    <w:rsid w:val="00553B7A"/>
    <w:rsid w:val="0055551E"/>
    <w:rsid w:val="0055615C"/>
    <w:rsid w:val="0055670B"/>
    <w:rsid w:val="00560D22"/>
    <w:rsid w:val="00560DFD"/>
    <w:rsid w:val="005614A1"/>
    <w:rsid w:val="00562419"/>
    <w:rsid w:val="00562559"/>
    <w:rsid w:val="00563A77"/>
    <w:rsid w:val="00563F4B"/>
    <w:rsid w:val="00564DD6"/>
    <w:rsid w:val="005656BA"/>
    <w:rsid w:val="005661F2"/>
    <w:rsid w:val="0056654D"/>
    <w:rsid w:val="0056686D"/>
    <w:rsid w:val="005673C4"/>
    <w:rsid w:val="00567895"/>
    <w:rsid w:val="0057012E"/>
    <w:rsid w:val="00570ACF"/>
    <w:rsid w:val="005759F2"/>
    <w:rsid w:val="0057662C"/>
    <w:rsid w:val="00576BF1"/>
    <w:rsid w:val="00577455"/>
    <w:rsid w:val="00577AD3"/>
    <w:rsid w:val="00581D82"/>
    <w:rsid w:val="00583047"/>
    <w:rsid w:val="00583568"/>
    <w:rsid w:val="00584E7D"/>
    <w:rsid w:val="005854FF"/>
    <w:rsid w:val="0058614E"/>
    <w:rsid w:val="00587751"/>
    <w:rsid w:val="00591C77"/>
    <w:rsid w:val="005936E1"/>
    <w:rsid w:val="00593D51"/>
    <w:rsid w:val="00594CDF"/>
    <w:rsid w:val="00594CF3"/>
    <w:rsid w:val="00594F9A"/>
    <w:rsid w:val="005965EC"/>
    <w:rsid w:val="00596FAE"/>
    <w:rsid w:val="005A1C3F"/>
    <w:rsid w:val="005A33DA"/>
    <w:rsid w:val="005A39C1"/>
    <w:rsid w:val="005A4554"/>
    <w:rsid w:val="005A5EEA"/>
    <w:rsid w:val="005A706B"/>
    <w:rsid w:val="005A772E"/>
    <w:rsid w:val="005B1236"/>
    <w:rsid w:val="005B2B11"/>
    <w:rsid w:val="005B2F36"/>
    <w:rsid w:val="005B46AC"/>
    <w:rsid w:val="005B4CDA"/>
    <w:rsid w:val="005B5398"/>
    <w:rsid w:val="005B7CF6"/>
    <w:rsid w:val="005C0D83"/>
    <w:rsid w:val="005C157F"/>
    <w:rsid w:val="005C17DA"/>
    <w:rsid w:val="005C1D7B"/>
    <w:rsid w:val="005C1F45"/>
    <w:rsid w:val="005C2187"/>
    <w:rsid w:val="005C4B21"/>
    <w:rsid w:val="005C6E33"/>
    <w:rsid w:val="005C6E72"/>
    <w:rsid w:val="005C72D5"/>
    <w:rsid w:val="005C7A67"/>
    <w:rsid w:val="005D040C"/>
    <w:rsid w:val="005D0B53"/>
    <w:rsid w:val="005D114B"/>
    <w:rsid w:val="005D1ACE"/>
    <w:rsid w:val="005D279D"/>
    <w:rsid w:val="005D4264"/>
    <w:rsid w:val="005D5A03"/>
    <w:rsid w:val="005D5F09"/>
    <w:rsid w:val="005D6297"/>
    <w:rsid w:val="005D62F3"/>
    <w:rsid w:val="005D6C8A"/>
    <w:rsid w:val="005D7F2A"/>
    <w:rsid w:val="005E0EEB"/>
    <w:rsid w:val="005E1D51"/>
    <w:rsid w:val="005E2F59"/>
    <w:rsid w:val="005E3195"/>
    <w:rsid w:val="005E45A4"/>
    <w:rsid w:val="005E5F16"/>
    <w:rsid w:val="005E62C6"/>
    <w:rsid w:val="005E6381"/>
    <w:rsid w:val="005E69D9"/>
    <w:rsid w:val="005E6DFF"/>
    <w:rsid w:val="005E7170"/>
    <w:rsid w:val="005F2201"/>
    <w:rsid w:val="005F30AA"/>
    <w:rsid w:val="005F374A"/>
    <w:rsid w:val="005F3B9C"/>
    <w:rsid w:val="005F4F4F"/>
    <w:rsid w:val="005F5D59"/>
    <w:rsid w:val="005F7D72"/>
    <w:rsid w:val="006006C7"/>
    <w:rsid w:val="0060080C"/>
    <w:rsid w:val="00600ADB"/>
    <w:rsid w:val="00601C8B"/>
    <w:rsid w:val="00602C62"/>
    <w:rsid w:val="00604C3E"/>
    <w:rsid w:val="00606775"/>
    <w:rsid w:val="00606A11"/>
    <w:rsid w:val="006072BC"/>
    <w:rsid w:val="00607517"/>
    <w:rsid w:val="00610455"/>
    <w:rsid w:val="00610C1C"/>
    <w:rsid w:val="00611639"/>
    <w:rsid w:val="00611FF5"/>
    <w:rsid w:val="006126DE"/>
    <w:rsid w:val="006129FB"/>
    <w:rsid w:val="006136C2"/>
    <w:rsid w:val="006136C5"/>
    <w:rsid w:val="00613941"/>
    <w:rsid w:val="00613ABF"/>
    <w:rsid w:val="00614B20"/>
    <w:rsid w:val="00614FDA"/>
    <w:rsid w:val="0061518D"/>
    <w:rsid w:val="00615804"/>
    <w:rsid w:val="00615A45"/>
    <w:rsid w:val="006178E3"/>
    <w:rsid w:val="0061795B"/>
    <w:rsid w:val="00620012"/>
    <w:rsid w:val="0062069E"/>
    <w:rsid w:val="00621FFA"/>
    <w:rsid w:val="006229EE"/>
    <w:rsid w:val="00623104"/>
    <w:rsid w:val="0062323C"/>
    <w:rsid w:val="00623A28"/>
    <w:rsid w:val="00625684"/>
    <w:rsid w:val="00625CE9"/>
    <w:rsid w:val="00626691"/>
    <w:rsid w:val="006279A2"/>
    <w:rsid w:val="00630533"/>
    <w:rsid w:val="00630B93"/>
    <w:rsid w:val="00630F75"/>
    <w:rsid w:val="00631F9E"/>
    <w:rsid w:val="006326A5"/>
    <w:rsid w:val="00632DDD"/>
    <w:rsid w:val="0063351A"/>
    <w:rsid w:val="00633C1A"/>
    <w:rsid w:val="00633C31"/>
    <w:rsid w:val="00635187"/>
    <w:rsid w:val="00635E5E"/>
    <w:rsid w:val="0063602D"/>
    <w:rsid w:val="00637024"/>
    <w:rsid w:val="00637820"/>
    <w:rsid w:val="006402CB"/>
    <w:rsid w:val="00640E0A"/>
    <w:rsid w:val="00642507"/>
    <w:rsid w:val="006426AD"/>
    <w:rsid w:val="00642F4D"/>
    <w:rsid w:val="00643837"/>
    <w:rsid w:val="00644C76"/>
    <w:rsid w:val="00645063"/>
    <w:rsid w:val="0064544C"/>
    <w:rsid w:val="006465B1"/>
    <w:rsid w:val="006468E1"/>
    <w:rsid w:val="0064798C"/>
    <w:rsid w:val="006557D6"/>
    <w:rsid w:val="006567B4"/>
    <w:rsid w:val="006569F7"/>
    <w:rsid w:val="006573B0"/>
    <w:rsid w:val="00657493"/>
    <w:rsid w:val="00660339"/>
    <w:rsid w:val="00660DB6"/>
    <w:rsid w:val="00662479"/>
    <w:rsid w:val="00662621"/>
    <w:rsid w:val="006626F6"/>
    <w:rsid w:val="0066278A"/>
    <w:rsid w:val="00665347"/>
    <w:rsid w:val="006659CD"/>
    <w:rsid w:val="00666155"/>
    <w:rsid w:val="00666682"/>
    <w:rsid w:val="0066764D"/>
    <w:rsid w:val="00667954"/>
    <w:rsid w:val="00667A7F"/>
    <w:rsid w:val="00672107"/>
    <w:rsid w:val="00674133"/>
    <w:rsid w:val="00674EEA"/>
    <w:rsid w:val="00675D6C"/>
    <w:rsid w:val="00676F29"/>
    <w:rsid w:val="00677C6E"/>
    <w:rsid w:val="00680180"/>
    <w:rsid w:val="00680E9C"/>
    <w:rsid w:val="00682999"/>
    <w:rsid w:val="00683457"/>
    <w:rsid w:val="00684983"/>
    <w:rsid w:val="00684F51"/>
    <w:rsid w:val="006859FF"/>
    <w:rsid w:val="0068671D"/>
    <w:rsid w:val="00686C45"/>
    <w:rsid w:val="00690763"/>
    <w:rsid w:val="006907BC"/>
    <w:rsid w:val="0069345B"/>
    <w:rsid w:val="00693ED7"/>
    <w:rsid w:val="0069421E"/>
    <w:rsid w:val="00694FBF"/>
    <w:rsid w:val="00697360"/>
    <w:rsid w:val="00697EC3"/>
    <w:rsid w:val="006A07BC"/>
    <w:rsid w:val="006A12FE"/>
    <w:rsid w:val="006A1D12"/>
    <w:rsid w:val="006A1D2C"/>
    <w:rsid w:val="006A4A32"/>
    <w:rsid w:val="006A4D9C"/>
    <w:rsid w:val="006A4E34"/>
    <w:rsid w:val="006A56AE"/>
    <w:rsid w:val="006A6F9E"/>
    <w:rsid w:val="006A7D3F"/>
    <w:rsid w:val="006B017A"/>
    <w:rsid w:val="006B1ADD"/>
    <w:rsid w:val="006B207C"/>
    <w:rsid w:val="006B2616"/>
    <w:rsid w:val="006B2E9F"/>
    <w:rsid w:val="006B4190"/>
    <w:rsid w:val="006B44FB"/>
    <w:rsid w:val="006B4AED"/>
    <w:rsid w:val="006B5163"/>
    <w:rsid w:val="006B7793"/>
    <w:rsid w:val="006B7A47"/>
    <w:rsid w:val="006C0758"/>
    <w:rsid w:val="006C2184"/>
    <w:rsid w:val="006C25CB"/>
    <w:rsid w:val="006C2CFA"/>
    <w:rsid w:val="006C438B"/>
    <w:rsid w:val="006C4D04"/>
    <w:rsid w:val="006C631F"/>
    <w:rsid w:val="006C6430"/>
    <w:rsid w:val="006C6630"/>
    <w:rsid w:val="006C6CFD"/>
    <w:rsid w:val="006C6EC2"/>
    <w:rsid w:val="006C7538"/>
    <w:rsid w:val="006C79EA"/>
    <w:rsid w:val="006C7B7C"/>
    <w:rsid w:val="006D0156"/>
    <w:rsid w:val="006D0699"/>
    <w:rsid w:val="006D0909"/>
    <w:rsid w:val="006D0E42"/>
    <w:rsid w:val="006D225C"/>
    <w:rsid w:val="006D294F"/>
    <w:rsid w:val="006D39E4"/>
    <w:rsid w:val="006D3C7C"/>
    <w:rsid w:val="006D45C3"/>
    <w:rsid w:val="006D4A1A"/>
    <w:rsid w:val="006D5851"/>
    <w:rsid w:val="006D58A0"/>
    <w:rsid w:val="006D5F7E"/>
    <w:rsid w:val="006E001A"/>
    <w:rsid w:val="006E25DF"/>
    <w:rsid w:val="006E291F"/>
    <w:rsid w:val="006E2A65"/>
    <w:rsid w:val="006E2C40"/>
    <w:rsid w:val="006E2C62"/>
    <w:rsid w:val="006E2DB8"/>
    <w:rsid w:val="006E4877"/>
    <w:rsid w:val="006E5355"/>
    <w:rsid w:val="006E5AE8"/>
    <w:rsid w:val="006E6260"/>
    <w:rsid w:val="006E68CA"/>
    <w:rsid w:val="006F0E73"/>
    <w:rsid w:val="006F3661"/>
    <w:rsid w:val="006F5BE5"/>
    <w:rsid w:val="006F64D7"/>
    <w:rsid w:val="007002DB"/>
    <w:rsid w:val="007006A1"/>
    <w:rsid w:val="00701FE0"/>
    <w:rsid w:val="00702063"/>
    <w:rsid w:val="007021AE"/>
    <w:rsid w:val="00703A64"/>
    <w:rsid w:val="007048FF"/>
    <w:rsid w:val="00705EE7"/>
    <w:rsid w:val="00706AAC"/>
    <w:rsid w:val="007079D5"/>
    <w:rsid w:val="00707CE1"/>
    <w:rsid w:val="00707F1E"/>
    <w:rsid w:val="00711778"/>
    <w:rsid w:val="00712E16"/>
    <w:rsid w:val="00713883"/>
    <w:rsid w:val="00713D66"/>
    <w:rsid w:val="0071500E"/>
    <w:rsid w:val="00716100"/>
    <w:rsid w:val="0071634A"/>
    <w:rsid w:val="007179A0"/>
    <w:rsid w:val="00720FE2"/>
    <w:rsid w:val="0072167E"/>
    <w:rsid w:val="00721C63"/>
    <w:rsid w:val="00723295"/>
    <w:rsid w:val="0072366A"/>
    <w:rsid w:val="00725A05"/>
    <w:rsid w:val="00725ACC"/>
    <w:rsid w:val="007264FF"/>
    <w:rsid w:val="007271D6"/>
    <w:rsid w:val="00727E90"/>
    <w:rsid w:val="0073036C"/>
    <w:rsid w:val="00730984"/>
    <w:rsid w:val="00732C07"/>
    <w:rsid w:val="007337B1"/>
    <w:rsid w:val="00733C29"/>
    <w:rsid w:val="00734E60"/>
    <w:rsid w:val="0073536B"/>
    <w:rsid w:val="00736504"/>
    <w:rsid w:val="00737A79"/>
    <w:rsid w:val="00741018"/>
    <w:rsid w:val="00741EAF"/>
    <w:rsid w:val="00742411"/>
    <w:rsid w:val="00743AAF"/>
    <w:rsid w:val="00743C12"/>
    <w:rsid w:val="00744704"/>
    <w:rsid w:val="00746F8C"/>
    <w:rsid w:val="00747B8F"/>
    <w:rsid w:val="00747DC0"/>
    <w:rsid w:val="007501B8"/>
    <w:rsid w:val="00750E5E"/>
    <w:rsid w:val="00750EA3"/>
    <w:rsid w:val="007519C4"/>
    <w:rsid w:val="00751C2E"/>
    <w:rsid w:val="00751EE9"/>
    <w:rsid w:val="00752CA4"/>
    <w:rsid w:val="007532C3"/>
    <w:rsid w:val="00754FFA"/>
    <w:rsid w:val="007554C3"/>
    <w:rsid w:val="00756603"/>
    <w:rsid w:val="0075738C"/>
    <w:rsid w:val="00761BB6"/>
    <w:rsid w:val="00761DEB"/>
    <w:rsid w:val="00762701"/>
    <w:rsid w:val="0076292A"/>
    <w:rsid w:val="00764015"/>
    <w:rsid w:val="0076425A"/>
    <w:rsid w:val="0076447C"/>
    <w:rsid w:val="007644D0"/>
    <w:rsid w:val="00764EAF"/>
    <w:rsid w:val="00766C4E"/>
    <w:rsid w:val="00766D02"/>
    <w:rsid w:val="00770234"/>
    <w:rsid w:val="00770B34"/>
    <w:rsid w:val="007714FA"/>
    <w:rsid w:val="00772492"/>
    <w:rsid w:val="00772985"/>
    <w:rsid w:val="00772E4B"/>
    <w:rsid w:val="00774672"/>
    <w:rsid w:val="0077495C"/>
    <w:rsid w:val="00775332"/>
    <w:rsid w:val="007756DF"/>
    <w:rsid w:val="007761CD"/>
    <w:rsid w:val="00776D3D"/>
    <w:rsid w:val="00781955"/>
    <w:rsid w:val="007830F3"/>
    <w:rsid w:val="00783A52"/>
    <w:rsid w:val="00784943"/>
    <w:rsid w:val="007858BF"/>
    <w:rsid w:val="00787EE1"/>
    <w:rsid w:val="00791309"/>
    <w:rsid w:val="0079235A"/>
    <w:rsid w:val="00792AC7"/>
    <w:rsid w:val="0079397F"/>
    <w:rsid w:val="00793B50"/>
    <w:rsid w:val="007945FC"/>
    <w:rsid w:val="007966C2"/>
    <w:rsid w:val="00796B2D"/>
    <w:rsid w:val="00796CE4"/>
    <w:rsid w:val="007A017B"/>
    <w:rsid w:val="007A1171"/>
    <w:rsid w:val="007A2947"/>
    <w:rsid w:val="007A330C"/>
    <w:rsid w:val="007A3A4E"/>
    <w:rsid w:val="007A4817"/>
    <w:rsid w:val="007A5221"/>
    <w:rsid w:val="007A5284"/>
    <w:rsid w:val="007A5A67"/>
    <w:rsid w:val="007A5EA5"/>
    <w:rsid w:val="007A75B9"/>
    <w:rsid w:val="007B0BF5"/>
    <w:rsid w:val="007B2C2F"/>
    <w:rsid w:val="007B2CFE"/>
    <w:rsid w:val="007B3539"/>
    <w:rsid w:val="007B6FB8"/>
    <w:rsid w:val="007B7C00"/>
    <w:rsid w:val="007C0A09"/>
    <w:rsid w:val="007C3166"/>
    <w:rsid w:val="007C471B"/>
    <w:rsid w:val="007C7924"/>
    <w:rsid w:val="007C7DF1"/>
    <w:rsid w:val="007D10C5"/>
    <w:rsid w:val="007D208D"/>
    <w:rsid w:val="007D2562"/>
    <w:rsid w:val="007D2FA0"/>
    <w:rsid w:val="007D47D8"/>
    <w:rsid w:val="007D50CE"/>
    <w:rsid w:val="007D5DEC"/>
    <w:rsid w:val="007D79D0"/>
    <w:rsid w:val="007E0890"/>
    <w:rsid w:val="007E245F"/>
    <w:rsid w:val="007E306F"/>
    <w:rsid w:val="007E54D2"/>
    <w:rsid w:val="007E57C5"/>
    <w:rsid w:val="007E6939"/>
    <w:rsid w:val="007E71A0"/>
    <w:rsid w:val="007F027A"/>
    <w:rsid w:val="007F0377"/>
    <w:rsid w:val="007F13B1"/>
    <w:rsid w:val="007F2D79"/>
    <w:rsid w:val="007F32F5"/>
    <w:rsid w:val="007F405C"/>
    <w:rsid w:val="007F5A3D"/>
    <w:rsid w:val="007F74BF"/>
    <w:rsid w:val="0080050E"/>
    <w:rsid w:val="00800C94"/>
    <w:rsid w:val="00801E64"/>
    <w:rsid w:val="008021DA"/>
    <w:rsid w:val="00802A07"/>
    <w:rsid w:val="00802AE4"/>
    <w:rsid w:val="008049CA"/>
    <w:rsid w:val="00805FA9"/>
    <w:rsid w:val="00807756"/>
    <w:rsid w:val="00807AC0"/>
    <w:rsid w:val="00810A1B"/>
    <w:rsid w:val="00811233"/>
    <w:rsid w:val="008112EF"/>
    <w:rsid w:val="00813FF4"/>
    <w:rsid w:val="00816247"/>
    <w:rsid w:val="00816F0D"/>
    <w:rsid w:val="00821843"/>
    <w:rsid w:val="00822441"/>
    <w:rsid w:val="00822F40"/>
    <w:rsid w:val="00823E9D"/>
    <w:rsid w:val="0082467F"/>
    <w:rsid w:val="00825604"/>
    <w:rsid w:val="00830346"/>
    <w:rsid w:val="008305A6"/>
    <w:rsid w:val="00831954"/>
    <w:rsid w:val="00832474"/>
    <w:rsid w:val="008324E2"/>
    <w:rsid w:val="00832B4B"/>
    <w:rsid w:val="008331A8"/>
    <w:rsid w:val="0083533B"/>
    <w:rsid w:val="00835F40"/>
    <w:rsid w:val="0083685F"/>
    <w:rsid w:val="00836D36"/>
    <w:rsid w:val="00837439"/>
    <w:rsid w:val="008400CB"/>
    <w:rsid w:val="0084057D"/>
    <w:rsid w:val="00840A67"/>
    <w:rsid w:val="00844093"/>
    <w:rsid w:val="0084438D"/>
    <w:rsid w:val="00845494"/>
    <w:rsid w:val="00845BFC"/>
    <w:rsid w:val="00846436"/>
    <w:rsid w:val="00846EB2"/>
    <w:rsid w:val="0085083F"/>
    <w:rsid w:val="00850B97"/>
    <w:rsid w:val="00851518"/>
    <w:rsid w:val="00851B05"/>
    <w:rsid w:val="00851E9A"/>
    <w:rsid w:val="008532C4"/>
    <w:rsid w:val="0085392B"/>
    <w:rsid w:val="00853C3C"/>
    <w:rsid w:val="00853E72"/>
    <w:rsid w:val="00857B34"/>
    <w:rsid w:val="00861342"/>
    <w:rsid w:val="00861CDE"/>
    <w:rsid w:val="00862C79"/>
    <w:rsid w:val="00863544"/>
    <w:rsid w:val="00864D65"/>
    <w:rsid w:val="0086504F"/>
    <w:rsid w:val="00865274"/>
    <w:rsid w:val="00866055"/>
    <w:rsid w:val="00867031"/>
    <w:rsid w:val="0086786E"/>
    <w:rsid w:val="00867C99"/>
    <w:rsid w:val="00871126"/>
    <w:rsid w:val="00872EA3"/>
    <w:rsid w:val="0087474C"/>
    <w:rsid w:val="008753C4"/>
    <w:rsid w:val="00875DF4"/>
    <w:rsid w:val="008761EC"/>
    <w:rsid w:val="0087679A"/>
    <w:rsid w:val="00877B18"/>
    <w:rsid w:val="0088030F"/>
    <w:rsid w:val="008823EC"/>
    <w:rsid w:val="00883F4D"/>
    <w:rsid w:val="00884854"/>
    <w:rsid w:val="00884896"/>
    <w:rsid w:val="00884C6A"/>
    <w:rsid w:val="0088548E"/>
    <w:rsid w:val="00885872"/>
    <w:rsid w:val="00886482"/>
    <w:rsid w:val="00886F06"/>
    <w:rsid w:val="00887E21"/>
    <w:rsid w:val="00890374"/>
    <w:rsid w:val="008950A4"/>
    <w:rsid w:val="00895F45"/>
    <w:rsid w:val="0089618F"/>
    <w:rsid w:val="00896DF9"/>
    <w:rsid w:val="008A01E6"/>
    <w:rsid w:val="008A072D"/>
    <w:rsid w:val="008A087C"/>
    <w:rsid w:val="008A172C"/>
    <w:rsid w:val="008A2117"/>
    <w:rsid w:val="008A3D27"/>
    <w:rsid w:val="008A4445"/>
    <w:rsid w:val="008A5C7B"/>
    <w:rsid w:val="008A5F33"/>
    <w:rsid w:val="008A633A"/>
    <w:rsid w:val="008A7E55"/>
    <w:rsid w:val="008B0301"/>
    <w:rsid w:val="008B0547"/>
    <w:rsid w:val="008B2295"/>
    <w:rsid w:val="008B4783"/>
    <w:rsid w:val="008B4FA8"/>
    <w:rsid w:val="008B51E1"/>
    <w:rsid w:val="008B5BAA"/>
    <w:rsid w:val="008B5BC5"/>
    <w:rsid w:val="008B5F93"/>
    <w:rsid w:val="008B6191"/>
    <w:rsid w:val="008B73F3"/>
    <w:rsid w:val="008C02F6"/>
    <w:rsid w:val="008C0675"/>
    <w:rsid w:val="008C0C56"/>
    <w:rsid w:val="008C1302"/>
    <w:rsid w:val="008C18C5"/>
    <w:rsid w:val="008C1AFC"/>
    <w:rsid w:val="008C4CC7"/>
    <w:rsid w:val="008C5223"/>
    <w:rsid w:val="008C72A8"/>
    <w:rsid w:val="008C7428"/>
    <w:rsid w:val="008C750D"/>
    <w:rsid w:val="008D1D4A"/>
    <w:rsid w:val="008D2900"/>
    <w:rsid w:val="008D3D83"/>
    <w:rsid w:val="008D42A7"/>
    <w:rsid w:val="008D463E"/>
    <w:rsid w:val="008D58F3"/>
    <w:rsid w:val="008D5BD4"/>
    <w:rsid w:val="008D7046"/>
    <w:rsid w:val="008E06DE"/>
    <w:rsid w:val="008E1F0E"/>
    <w:rsid w:val="008E2362"/>
    <w:rsid w:val="008E2CDE"/>
    <w:rsid w:val="008E351C"/>
    <w:rsid w:val="008E396C"/>
    <w:rsid w:val="008E4879"/>
    <w:rsid w:val="008E4E18"/>
    <w:rsid w:val="008E5CB8"/>
    <w:rsid w:val="008F07BC"/>
    <w:rsid w:val="008F0885"/>
    <w:rsid w:val="008F1574"/>
    <w:rsid w:val="008F28AC"/>
    <w:rsid w:val="008F4785"/>
    <w:rsid w:val="008F4B82"/>
    <w:rsid w:val="008F52EB"/>
    <w:rsid w:val="008F5764"/>
    <w:rsid w:val="008F64D8"/>
    <w:rsid w:val="008F67C8"/>
    <w:rsid w:val="008F7919"/>
    <w:rsid w:val="00900FA4"/>
    <w:rsid w:val="00902266"/>
    <w:rsid w:val="009023A7"/>
    <w:rsid w:val="0090244C"/>
    <w:rsid w:val="00902687"/>
    <w:rsid w:val="0090379D"/>
    <w:rsid w:val="00905932"/>
    <w:rsid w:val="009062D0"/>
    <w:rsid w:val="009063CF"/>
    <w:rsid w:val="00906917"/>
    <w:rsid w:val="00911285"/>
    <w:rsid w:val="00911348"/>
    <w:rsid w:val="00912F81"/>
    <w:rsid w:val="00913541"/>
    <w:rsid w:val="00914DE8"/>
    <w:rsid w:val="009154FF"/>
    <w:rsid w:val="00916522"/>
    <w:rsid w:val="009169CB"/>
    <w:rsid w:val="00916A27"/>
    <w:rsid w:val="00917960"/>
    <w:rsid w:val="00917FE4"/>
    <w:rsid w:val="00920A99"/>
    <w:rsid w:val="0092339F"/>
    <w:rsid w:val="00925866"/>
    <w:rsid w:val="0092607F"/>
    <w:rsid w:val="00926207"/>
    <w:rsid w:val="00926792"/>
    <w:rsid w:val="0092722B"/>
    <w:rsid w:val="0092737C"/>
    <w:rsid w:val="00927790"/>
    <w:rsid w:val="00927890"/>
    <w:rsid w:val="0092792B"/>
    <w:rsid w:val="009303B8"/>
    <w:rsid w:val="00932DA5"/>
    <w:rsid w:val="00934338"/>
    <w:rsid w:val="00935AC1"/>
    <w:rsid w:val="00940B0B"/>
    <w:rsid w:val="009411C5"/>
    <w:rsid w:val="009425E0"/>
    <w:rsid w:val="009435A9"/>
    <w:rsid w:val="00944ED4"/>
    <w:rsid w:val="0094528A"/>
    <w:rsid w:val="0094581C"/>
    <w:rsid w:val="00945AE0"/>
    <w:rsid w:val="00950323"/>
    <w:rsid w:val="009515EB"/>
    <w:rsid w:val="00952A2D"/>
    <w:rsid w:val="0095335A"/>
    <w:rsid w:val="009533A6"/>
    <w:rsid w:val="00955A6B"/>
    <w:rsid w:val="00955B20"/>
    <w:rsid w:val="00955CC6"/>
    <w:rsid w:val="00956982"/>
    <w:rsid w:val="00957EF2"/>
    <w:rsid w:val="00960488"/>
    <w:rsid w:val="009604FC"/>
    <w:rsid w:val="00961678"/>
    <w:rsid w:val="0096187E"/>
    <w:rsid w:val="009625D1"/>
    <w:rsid w:val="00962993"/>
    <w:rsid w:val="00963536"/>
    <w:rsid w:val="0096372A"/>
    <w:rsid w:val="009638DF"/>
    <w:rsid w:val="009649EA"/>
    <w:rsid w:val="009719DB"/>
    <w:rsid w:val="0097211A"/>
    <w:rsid w:val="0097317B"/>
    <w:rsid w:val="00973813"/>
    <w:rsid w:val="00974AD4"/>
    <w:rsid w:val="00975047"/>
    <w:rsid w:val="009752DB"/>
    <w:rsid w:val="00976DA7"/>
    <w:rsid w:val="00977EA2"/>
    <w:rsid w:val="009811E6"/>
    <w:rsid w:val="00983999"/>
    <w:rsid w:val="00983F91"/>
    <w:rsid w:val="009857B4"/>
    <w:rsid w:val="009864F2"/>
    <w:rsid w:val="009869B8"/>
    <w:rsid w:val="0098782A"/>
    <w:rsid w:val="00987BD0"/>
    <w:rsid w:val="00990A85"/>
    <w:rsid w:val="0099114A"/>
    <w:rsid w:val="0099371F"/>
    <w:rsid w:val="00995E18"/>
    <w:rsid w:val="009A03B0"/>
    <w:rsid w:val="009A1397"/>
    <w:rsid w:val="009A16E3"/>
    <w:rsid w:val="009A2591"/>
    <w:rsid w:val="009A2AAC"/>
    <w:rsid w:val="009A2E38"/>
    <w:rsid w:val="009A65C3"/>
    <w:rsid w:val="009A7DE6"/>
    <w:rsid w:val="009B0847"/>
    <w:rsid w:val="009B1FFA"/>
    <w:rsid w:val="009B2BD4"/>
    <w:rsid w:val="009B31A9"/>
    <w:rsid w:val="009B4D01"/>
    <w:rsid w:val="009B6E95"/>
    <w:rsid w:val="009B7581"/>
    <w:rsid w:val="009C041E"/>
    <w:rsid w:val="009C0437"/>
    <w:rsid w:val="009C2105"/>
    <w:rsid w:val="009C2359"/>
    <w:rsid w:val="009C23FF"/>
    <w:rsid w:val="009C2761"/>
    <w:rsid w:val="009C3A72"/>
    <w:rsid w:val="009C3CEB"/>
    <w:rsid w:val="009C3D7A"/>
    <w:rsid w:val="009C43BF"/>
    <w:rsid w:val="009C4CBC"/>
    <w:rsid w:val="009C6C1E"/>
    <w:rsid w:val="009C740D"/>
    <w:rsid w:val="009C7918"/>
    <w:rsid w:val="009D05BF"/>
    <w:rsid w:val="009D1542"/>
    <w:rsid w:val="009D16AF"/>
    <w:rsid w:val="009D1F6C"/>
    <w:rsid w:val="009D2866"/>
    <w:rsid w:val="009D29F7"/>
    <w:rsid w:val="009D378A"/>
    <w:rsid w:val="009D4451"/>
    <w:rsid w:val="009D5CEC"/>
    <w:rsid w:val="009D64AA"/>
    <w:rsid w:val="009E0A71"/>
    <w:rsid w:val="009E0F93"/>
    <w:rsid w:val="009E1E3B"/>
    <w:rsid w:val="009E28DE"/>
    <w:rsid w:val="009E2EFB"/>
    <w:rsid w:val="009E5BA7"/>
    <w:rsid w:val="009E5E81"/>
    <w:rsid w:val="009E658D"/>
    <w:rsid w:val="009E6BEF"/>
    <w:rsid w:val="009E6F8A"/>
    <w:rsid w:val="009E79B5"/>
    <w:rsid w:val="009F1355"/>
    <w:rsid w:val="009F1B5F"/>
    <w:rsid w:val="009F28C6"/>
    <w:rsid w:val="009F2DC7"/>
    <w:rsid w:val="009F2F3F"/>
    <w:rsid w:val="009F37AB"/>
    <w:rsid w:val="009F4144"/>
    <w:rsid w:val="009F487B"/>
    <w:rsid w:val="009F4CD1"/>
    <w:rsid w:val="009F5F42"/>
    <w:rsid w:val="009F7954"/>
    <w:rsid w:val="009F7ACB"/>
    <w:rsid w:val="00A001A6"/>
    <w:rsid w:val="00A00740"/>
    <w:rsid w:val="00A0397D"/>
    <w:rsid w:val="00A03F28"/>
    <w:rsid w:val="00A07139"/>
    <w:rsid w:val="00A07209"/>
    <w:rsid w:val="00A10222"/>
    <w:rsid w:val="00A11A62"/>
    <w:rsid w:val="00A11FF2"/>
    <w:rsid w:val="00A148B9"/>
    <w:rsid w:val="00A150C9"/>
    <w:rsid w:val="00A15B9C"/>
    <w:rsid w:val="00A21069"/>
    <w:rsid w:val="00A21C5D"/>
    <w:rsid w:val="00A21E07"/>
    <w:rsid w:val="00A22237"/>
    <w:rsid w:val="00A2258F"/>
    <w:rsid w:val="00A22C6B"/>
    <w:rsid w:val="00A22E78"/>
    <w:rsid w:val="00A23207"/>
    <w:rsid w:val="00A24AA0"/>
    <w:rsid w:val="00A2631F"/>
    <w:rsid w:val="00A26FB2"/>
    <w:rsid w:val="00A27F46"/>
    <w:rsid w:val="00A30281"/>
    <w:rsid w:val="00A33352"/>
    <w:rsid w:val="00A341F5"/>
    <w:rsid w:val="00A34990"/>
    <w:rsid w:val="00A34A42"/>
    <w:rsid w:val="00A37CC7"/>
    <w:rsid w:val="00A42014"/>
    <w:rsid w:val="00A43BAF"/>
    <w:rsid w:val="00A45A77"/>
    <w:rsid w:val="00A461A3"/>
    <w:rsid w:val="00A504B6"/>
    <w:rsid w:val="00A51B76"/>
    <w:rsid w:val="00A51E1C"/>
    <w:rsid w:val="00A51EAE"/>
    <w:rsid w:val="00A524F4"/>
    <w:rsid w:val="00A53C56"/>
    <w:rsid w:val="00A55798"/>
    <w:rsid w:val="00A557DA"/>
    <w:rsid w:val="00A55E23"/>
    <w:rsid w:val="00A5608A"/>
    <w:rsid w:val="00A566E7"/>
    <w:rsid w:val="00A573D6"/>
    <w:rsid w:val="00A57795"/>
    <w:rsid w:val="00A57A5B"/>
    <w:rsid w:val="00A60548"/>
    <w:rsid w:val="00A606E2"/>
    <w:rsid w:val="00A627A1"/>
    <w:rsid w:val="00A62907"/>
    <w:rsid w:val="00A63028"/>
    <w:rsid w:val="00A640BB"/>
    <w:rsid w:val="00A65950"/>
    <w:rsid w:val="00A67AA0"/>
    <w:rsid w:val="00A70454"/>
    <w:rsid w:val="00A70509"/>
    <w:rsid w:val="00A70AE0"/>
    <w:rsid w:val="00A70CC9"/>
    <w:rsid w:val="00A70E52"/>
    <w:rsid w:val="00A710BF"/>
    <w:rsid w:val="00A72166"/>
    <w:rsid w:val="00A72E4F"/>
    <w:rsid w:val="00A730B5"/>
    <w:rsid w:val="00A7399A"/>
    <w:rsid w:val="00A73D86"/>
    <w:rsid w:val="00A76A6B"/>
    <w:rsid w:val="00A772B6"/>
    <w:rsid w:val="00A774C6"/>
    <w:rsid w:val="00A804E4"/>
    <w:rsid w:val="00A8087A"/>
    <w:rsid w:val="00A80DE9"/>
    <w:rsid w:val="00A81FCF"/>
    <w:rsid w:val="00A824C7"/>
    <w:rsid w:val="00A840F8"/>
    <w:rsid w:val="00A8424A"/>
    <w:rsid w:val="00A8467E"/>
    <w:rsid w:val="00A851D8"/>
    <w:rsid w:val="00A85EEC"/>
    <w:rsid w:val="00A872CF"/>
    <w:rsid w:val="00A90291"/>
    <w:rsid w:val="00A90709"/>
    <w:rsid w:val="00A907A9"/>
    <w:rsid w:val="00A925BD"/>
    <w:rsid w:val="00A93289"/>
    <w:rsid w:val="00A93C62"/>
    <w:rsid w:val="00A94330"/>
    <w:rsid w:val="00A94B66"/>
    <w:rsid w:val="00A95125"/>
    <w:rsid w:val="00A95A3D"/>
    <w:rsid w:val="00A960A3"/>
    <w:rsid w:val="00A96303"/>
    <w:rsid w:val="00A979E8"/>
    <w:rsid w:val="00A97C38"/>
    <w:rsid w:val="00AA0EEF"/>
    <w:rsid w:val="00AA1903"/>
    <w:rsid w:val="00AA213D"/>
    <w:rsid w:val="00AA4DCB"/>
    <w:rsid w:val="00AA4F5D"/>
    <w:rsid w:val="00AA603E"/>
    <w:rsid w:val="00AA658F"/>
    <w:rsid w:val="00AA714E"/>
    <w:rsid w:val="00AA72AB"/>
    <w:rsid w:val="00AA737B"/>
    <w:rsid w:val="00AB00F0"/>
    <w:rsid w:val="00AB03A0"/>
    <w:rsid w:val="00AB0DB8"/>
    <w:rsid w:val="00AB2611"/>
    <w:rsid w:val="00AB3379"/>
    <w:rsid w:val="00AB3DB0"/>
    <w:rsid w:val="00AB587B"/>
    <w:rsid w:val="00AB5B70"/>
    <w:rsid w:val="00AB5C24"/>
    <w:rsid w:val="00AB5E2A"/>
    <w:rsid w:val="00AB683C"/>
    <w:rsid w:val="00AB7226"/>
    <w:rsid w:val="00AC028C"/>
    <w:rsid w:val="00AC1334"/>
    <w:rsid w:val="00AC153A"/>
    <w:rsid w:val="00AC2625"/>
    <w:rsid w:val="00AC26EE"/>
    <w:rsid w:val="00AC2D8F"/>
    <w:rsid w:val="00AC2F75"/>
    <w:rsid w:val="00AC3FB6"/>
    <w:rsid w:val="00AC6463"/>
    <w:rsid w:val="00AC6C63"/>
    <w:rsid w:val="00AD045E"/>
    <w:rsid w:val="00AD06AB"/>
    <w:rsid w:val="00AD12A3"/>
    <w:rsid w:val="00AD1CBB"/>
    <w:rsid w:val="00AD1E70"/>
    <w:rsid w:val="00AD2955"/>
    <w:rsid w:val="00AD2C6D"/>
    <w:rsid w:val="00AD684E"/>
    <w:rsid w:val="00AD6BCB"/>
    <w:rsid w:val="00AD71DC"/>
    <w:rsid w:val="00AE00AA"/>
    <w:rsid w:val="00AE0527"/>
    <w:rsid w:val="00AE2FD7"/>
    <w:rsid w:val="00AE3F81"/>
    <w:rsid w:val="00AE3FE0"/>
    <w:rsid w:val="00AE44D1"/>
    <w:rsid w:val="00AE467E"/>
    <w:rsid w:val="00AE46C5"/>
    <w:rsid w:val="00AE63BE"/>
    <w:rsid w:val="00AE643A"/>
    <w:rsid w:val="00AF017E"/>
    <w:rsid w:val="00AF0286"/>
    <w:rsid w:val="00AF27A9"/>
    <w:rsid w:val="00AF292C"/>
    <w:rsid w:val="00AF3F66"/>
    <w:rsid w:val="00AF4296"/>
    <w:rsid w:val="00AF43E2"/>
    <w:rsid w:val="00AF4A70"/>
    <w:rsid w:val="00AF732D"/>
    <w:rsid w:val="00B01892"/>
    <w:rsid w:val="00B03181"/>
    <w:rsid w:val="00B03271"/>
    <w:rsid w:val="00B03825"/>
    <w:rsid w:val="00B03D02"/>
    <w:rsid w:val="00B03EC6"/>
    <w:rsid w:val="00B05D99"/>
    <w:rsid w:val="00B0630C"/>
    <w:rsid w:val="00B063FC"/>
    <w:rsid w:val="00B06415"/>
    <w:rsid w:val="00B07E17"/>
    <w:rsid w:val="00B10329"/>
    <w:rsid w:val="00B10E3F"/>
    <w:rsid w:val="00B11F44"/>
    <w:rsid w:val="00B12E5F"/>
    <w:rsid w:val="00B12ED0"/>
    <w:rsid w:val="00B1506E"/>
    <w:rsid w:val="00B158BB"/>
    <w:rsid w:val="00B1645D"/>
    <w:rsid w:val="00B209CD"/>
    <w:rsid w:val="00B231CC"/>
    <w:rsid w:val="00B23C28"/>
    <w:rsid w:val="00B24F10"/>
    <w:rsid w:val="00B274BB"/>
    <w:rsid w:val="00B276E6"/>
    <w:rsid w:val="00B279C4"/>
    <w:rsid w:val="00B30EAD"/>
    <w:rsid w:val="00B32554"/>
    <w:rsid w:val="00B33AF3"/>
    <w:rsid w:val="00B3444D"/>
    <w:rsid w:val="00B34DA2"/>
    <w:rsid w:val="00B35730"/>
    <w:rsid w:val="00B3611A"/>
    <w:rsid w:val="00B378D5"/>
    <w:rsid w:val="00B4000C"/>
    <w:rsid w:val="00B40714"/>
    <w:rsid w:val="00B4091A"/>
    <w:rsid w:val="00B41BF6"/>
    <w:rsid w:val="00B41D53"/>
    <w:rsid w:val="00B434AD"/>
    <w:rsid w:val="00B44129"/>
    <w:rsid w:val="00B44FFC"/>
    <w:rsid w:val="00B45237"/>
    <w:rsid w:val="00B4603A"/>
    <w:rsid w:val="00B46A03"/>
    <w:rsid w:val="00B50E3D"/>
    <w:rsid w:val="00B524B9"/>
    <w:rsid w:val="00B53B89"/>
    <w:rsid w:val="00B53D26"/>
    <w:rsid w:val="00B54370"/>
    <w:rsid w:val="00B54949"/>
    <w:rsid w:val="00B54FE4"/>
    <w:rsid w:val="00B55D7D"/>
    <w:rsid w:val="00B570B9"/>
    <w:rsid w:val="00B572B2"/>
    <w:rsid w:val="00B57B4F"/>
    <w:rsid w:val="00B60277"/>
    <w:rsid w:val="00B607D3"/>
    <w:rsid w:val="00B60A72"/>
    <w:rsid w:val="00B6258C"/>
    <w:rsid w:val="00B6285C"/>
    <w:rsid w:val="00B63E41"/>
    <w:rsid w:val="00B646A0"/>
    <w:rsid w:val="00B64CBB"/>
    <w:rsid w:val="00B654CC"/>
    <w:rsid w:val="00B656F5"/>
    <w:rsid w:val="00B66477"/>
    <w:rsid w:val="00B66CFA"/>
    <w:rsid w:val="00B6748A"/>
    <w:rsid w:val="00B67CB6"/>
    <w:rsid w:val="00B7145E"/>
    <w:rsid w:val="00B71A88"/>
    <w:rsid w:val="00B720E9"/>
    <w:rsid w:val="00B73124"/>
    <w:rsid w:val="00B7444A"/>
    <w:rsid w:val="00B76BAD"/>
    <w:rsid w:val="00B77487"/>
    <w:rsid w:val="00B8064B"/>
    <w:rsid w:val="00B80961"/>
    <w:rsid w:val="00B80D14"/>
    <w:rsid w:val="00B81A00"/>
    <w:rsid w:val="00B82BC9"/>
    <w:rsid w:val="00B836FD"/>
    <w:rsid w:val="00B83A33"/>
    <w:rsid w:val="00B83E34"/>
    <w:rsid w:val="00B85429"/>
    <w:rsid w:val="00B86191"/>
    <w:rsid w:val="00B866B0"/>
    <w:rsid w:val="00B906CF"/>
    <w:rsid w:val="00B90D4D"/>
    <w:rsid w:val="00B91A99"/>
    <w:rsid w:val="00B92517"/>
    <w:rsid w:val="00B929C6"/>
    <w:rsid w:val="00B9331D"/>
    <w:rsid w:val="00B941EC"/>
    <w:rsid w:val="00B94D78"/>
    <w:rsid w:val="00B968F8"/>
    <w:rsid w:val="00B96BA1"/>
    <w:rsid w:val="00B96BA6"/>
    <w:rsid w:val="00B97EE9"/>
    <w:rsid w:val="00BA0176"/>
    <w:rsid w:val="00BA04F7"/>
    <w:rsid w:val="00BA0B6C"/>
    <w:rsid w:val="00BA12BF"/>
    <w:rsid w:val="00BA2A17"/>
    <w:rsid w:val="00BA2A1D"/>
    <w:rsid w:val="00BA3F2E"/>
    <w:rsid w:val="00BA41FA"/>
    <w:rsid w:val="00BA447B"/>
    <w:rsid w:val="00BA4ADB"/>
    <w:rsid w:val="00BA616B"/>
    <w:rsid w:val="00BB002E"/>
    <w:rsid w:val="00BB1D1C"/>
    <w:rsid w:val="00BB2725"/>
    <w:rsid w:val="00BB4682"/>
    <w:rsid w:val="00BB471C"/>
    <w:rsid w:val="00BB5637"/>
    <w:rsid w:val="00BC1DBD"/>
    <w:rsid w:val="00BC200B"/>
    <w:rsid w:val="00BC21C6"/>
    <w:rsid w:val="00BC2616"/>
    <w:rsid w:val="00BC2AFF"/>
    <w:rsid w:val="00BC35B6"/>
    <w:rsid w:val="00BC41A4"/>
    <w:rsid w:val="00BC49D1"/>
    <w:rsid w:val="00BC4B48"/>
    <w:rsid w:val="00BC5DA4"/>
    <w:rsid w:val="00BC6BC2"/>
    <w:rsid w:val="00BC7DF2"/>
    <w:rsid w:val="00BD0CBA"/>
    <w:rsid w:val="00BD18CC"/>
    <w:rsid w:val="00BD1B54"/>
    <w:rsid w:val="00BD1C50"/>
    <w:rsid w:val="00BD2E17"/>
    <w:rsid w:val="00BD3867"/>
    <w:rsid w:val="00BD3922"/>
    <w:rsid w:val="00BD476B"/>
    <w:rsid w:val="00BD4D4D"/>
    <w:rsid w:val="00BD6377"/>
    <w:rsid w:val="00BD6C4E"/>
    <w:rsid w:val="00BE10C1"/>
    <w:rsid w:val="00BE1D63"/>
    <w:rsid w:val="00BE241F"/>
    <w:rsid w:val="00BE2A93"/>
    <w:rsid w:val="00BE33F6"/>
    <w:rsid w:val="00BE3A6D"/>
    <w:rsid w:val="00BE3BDA"/>
    <w:rsid w:val="00BE5F06"/>
    <w:rsid w:val="00BE60BC"/>
    <w:rsid w:val="00BE669D"/>
    <w:rsid w:val="00BF1C39"/>
    <w:rsid w:val="00BF1CAF"/>
    <w:rsid w:val="00BF242D"/>
    <w:rsid w:val="00BF2D31"/>
    <w:rsid w:val="00BF2EB0"/>
    <w:rsid w:val="00BF3FDC"/>
    <w:rsid w:val="00BF4283"/>
    <w:rsid w:val="00BF4A5A"/>
    <w:rsid w:val="00BF56AF"/>
    <w:rsid w:val="00BF5E4E"/>
    <w:rsid w:val="00BF71AC"/>
    <w:rsid w:val="00BF7632"/>
    <w:rsid w:val="00C0010C"/>
    <w:rsid w:val="00C010EF"/>
    <w:rsid w:val="00C01352"/>
    <w:rsid w:val="00C0173F"/>
    <w:rsid w:val="00C0178A"/>
    <w:rsid w:val="00C02D2E"/>
    <w:rsid w:val="00C02FC1"/>
    <w:rsid w:val="00C03489"/>
    <w:rsid w:val="00C03B6B"/>
    <w:rsid w:val="00C03DBE"/>
    <w:rsid w:val="00C041E8"/>
    <w:rsid w:val="00C058F3"/>
    <w:rsid w:val="00C059A4"/>
    <w:rsid w:val="00C06DD9"/>
    <w:rsid w:val="00C06E21"/>
    <w:rsid w:val="00C071B8"/>
    <w:rsid w:val="00C07CFA"/>
    <w:rsid w:val="00C11767"/>
    <w:rsid w:val="00C12B37"/>
    <w:rsid w:val="00C12C16"/>
    <w:rsid w:val="00C13B78"/>
    <w:rsid w:val="00C14018"/>
    <w:rsid w:val="00C14EDD"/>
    <w:rsid w:val="00C213AD"/>
    <w:rsid w:val="00C22188"/>
    <w:rsid w:val="00C229D3"/>
    <w:rsid w:val="00C22FCF"/>
    <w:rsid w:val="00C24EEF"/>
    <w:rsid w:val="00C2583C"/>
    <w:rsid w:val="00C26026"/>
    <w:rsid w:val="00C26461"/>
    <w:rsid w:val="00C2767D"/>
    <w:rsid w:val="00C30B44"/>
    <w:rsid w:val="00C30DD9"/>
    <w:rsid w:val="00C30E58"/>
    <w:rsid w:val="00C31084"/>
    <w:rsid w:val="00C31B97"/>
    <w:rsid w:val="00C31D76"/>
    <w:rsid w:val="00C321D8"/>
    <w:rsid w:val="00C32296"/>
    <w:rsid w:val="00C34055"/>
    <w:rsid w:val="00C35090"/>
    <w:rsid w:val="00C350EE"/>
    <w:rsid w:val="00C35463"/>
    <w:rsid w:val="00C35B38"/>
    <w:rsid w:val="00C35E5C"/>
    <w:rsid w:val="00C36FFC"/>
    <w:rsid w:val="00C37FD8"/>
    <w:rsid w:val="00C40083"/>
    <w:rsid w:val="00C406A2"/>
    <w:rsid w:val="00C41E47"/>
    <w:rsid w:val="00C42782"/>
    <w:rsid w:val="00C427EC"/>
    <w:rsid w:val="00C43E5E"/>
    <w:rsid w:val="00C45247"/>
    <w:rsid w:val="00C45955"/>
    <w:rsid w:val="00C4686E"/>
    <w:rsid w:val="00C46E58"/>
    <w:rsid w:val="00C47162"/>
    <w:rsid w:val="00C47AE5"/>
    <w:rsid w:val="00C47D3C"/>
    <w:rsid w:val="00C500D1"/>
    <w:rsid w:val="00C5015A"/>
    <w:rsid w:val="00C513FB"/>
    <w:rsid w:val="00C533C5"/>
    <w:rsid w:val="00C541F7"/>
    <w:rsid w:val="00C547B5"/>
    <w:rsid w:val="00C54EEB"/>
    <w:rsid w:val="00C551CB"/>
    <w:rsid w:val="00C55340"/>
    <w:rsid w:val="00C55546"/>
    <w:rsid w:val="00C55979"/>
    <w:rsid w:val="00C573CC"/>
    <w:rsid w:val="00C57CCB"/>
    <w:rsid w:val="00C60B88"/>
    <w:rsid w:val="00C61EC1"/>
    <w:rsid w:val="00C61F33"/>
    <w:rsid w:val="00C61FAA"/>
    <w:rsid w:val="00C621DF"/>
    <w:rsid w:val="00C622CD"/>
    <w:rsid w:val="00C62EC0"/>
    <w:rsid w:val="00C64992"/>
    <w:rsid w:val="00C64F8B"/>
    <w:rsid w:val="00C64FAA"/>
    <w:rsid w:val="00C66903"/>
    <w:rsid w:val="00C679FB"/>
    <w:rsid w:val="00C67E52"/>
    <w:rsid w:val="00C702DD"/>
    <w:rsid w:val="00C705A6"/>
    <w:rsid w:val="00C70859"/>
    <w:rsid w:val="00C70BCA"/>
    <w:rsid w:val="00C71D0E"/>
    <w:rsid w:val="00C724C5"/>
    <w:rsid w:val="00C72F8D"/>
    <w:rsid w:val="00C74CE1"/>
    <w:rsid w:val="00C7693D"/>
    <w:rsid w:val="00C80EED"/>
    <w:rsid w:val="00C80FEC"/>
    <w:rsid w:val="00C82B47"/>
    <w:rsid w:val="00C852E1"/>
    <w:rsid w:val="00C860B6"/>
    <w:rsid w:val="00C8728E"/>
    <w:rsid w:val="00C905C3"/>
    <w:rsid w:val="00C90E2A"/>
    <w:rsid w:val="00C935FD"/>
    <w:rsid w:val="00C93FB1"/>
    <w:rsid w:val="00C946B8"/>
    <w:rsid w:val="00C961FB"/>
    <w:rsid w:val="00C966CD"/>
    <w:rsid w:val="00C968C7"/>
    <w:rsid w:val="00C96E91"/>
    <w:rsid w:val="00CA1958"/>
    <w:rsid w:val="00CA2569"/>
    <w:rsid w:val="00CA2887"/>
    <w:rsid w:val="00CA2FC3"/>
    <w:rsid w:val="00CA311D"/>
    <w:rsid w:val="00CA3D8C"/>
    <w:rsid w:val="00CA5219"/>
    <w:rsid w:val="00CA54F6"/>
    <w:rsid w:val="00CA731D"/>
    <w:rsid w:val="00CA7879"/>
    <w:rsid w:val="00CB06C1"/>
    <w:rsid w:val="00CB0DFD"/>
    <w:rsid w:val="00CB1379"/>
    <w:rsid w:val="00CB16AF"/>
    <w:rsid w:val="00CB1C43"/>
    <w:rsid w:val="00CB37B1"/>
    <w:rsid w:val="00CB413A"/>
    <w:rsid w:val="00CB479D"/>
    <w:rsid w:val="00CB4A51"/>
    <w:rsid w:val="00CB531D"/>
    <w:rsid w:val="00CB53AC"/>
    <w:rsid w:val="00CB549C"/>
    <w:rsid w:val="00CB5D0C"/>
    <w:rsid w:val="00CB6641"/>
    <w:rsid w:val="00CC0538"/>
    <w:rsid w:val="00CC2478"/>
    <w:rsid w:val="00CC359F"/>
    <w:rsid w:val="00CC36B2"/>
    <w:rsid w:val="00CC3EB2"/>
    <w:rsid w:val="00CC4A5B"/>
    <w:rsid w:val="00CC4BFE"/>
    <w:rsid w:val="00CC6813"/>
    <w:rsid w:val="00CC6891"/>
    <w:rsid w:val="00CC6DF7"/>
    <w:rsid w:val="00CC70B1"/>
    <w:rsid w:val="00CC7D95"/>
    <w:rsid w:val="00CD0068"/>
    <w:rsid w:val="00CD054E"/>
    <w:rsid w:val="00CD0BFB"/>
    <w:rsid w:val="00CD1803"/>
    <w:rsid w:val="00CD42A5"/>
    <w:rsid w:val="00CD4931"/>
    <w:rsid w:val="00CD4D43"/>
    <w:rsid w:val="00CD521F"/>
    <w:rsid w:val="00CD5458"/>
    <w:rsid w:val="00CD55C0"/>
    <w:rsid w:val="00CD57E9"/>
    <w:rsid w:val="00CE0477"/>
    <w:rsid w:val="00CE0809"/>
    <w:rsid w:val="00CE0A3D"/>
    <w:rsid w:val="00CE0EC8"/>
    <w:rsid w:val="00CE57D5"/>
    <w:rsid w:val="00CE5D17"/>
    <w:rsid w:val="00CE61F2"/>
    <w:rsid w:val="00CE6A19"/>
    <w:rsid w:val="00CE6C6E"/>
    <w:rsid w:val="00CF0648"/>
    <w:rsid w:val="00CF23E3"/>
    <w:rsid w:val="00CF240F"/>
    <w:rsid w:val="00CF451E"/>
    <w:rsid w:val="00CF6814"/>
    <w:rsid w:val="00CF788F"/>
    <w:rsid w:val="00D001F8"/>
    <w:rsid w:val="00D0022F"/>
    <w:rsid w:val="00D00241"/>
    <w:rsid w:val="00D00502"/>
    <w:rsid w:val="00D00E71"/>
    <w:rsid w:val="00D012A6"/>
    <w:rsid w:val="00D0269A"/>
    <w:rsid w:val="00D03217"/>
    <w:rsid w:val="00D051D0"/>
    <w:rsid w:val="00D06211"/>
    <w:rsid w:val="00D063F4"/>
    <w:rsid w:val="00D0686A"/>
    <w:rsid w:val="00D06C8D"/>
    <w:rsid w:val="00D078DB"/>
    <w:rsid w:val="00D1070D"/>
    <w:rsid w:val="00D118E8"/>
    <w:rsid w:val="00D12179"/>
    <w:rsid w:val="00D13CBD"/>
    <w:rsid w:val="00D13F04"/>
    <w:rsid w:val="00D1413D"/>
    <w:rsid w:val="00D1423B"/>
    <w:rsid w:val="00D14F3B"/>
    <w:rsid w:val="00D153D4"/>
    <w:rsid w:val="00D1571A"/>
    <w:rsid w:val="00D158AE"/>
    <w:rsid w:val="00D15CD6"/>
    <w:rsid w:val="00D16968"/>
    <w:rsid w:val="00D17787"/>
    <w:rsid w:val="00D17C45"/>
    <w:rsid w:val="00D17F6D"/>
    <w:rsid w:val="00D20587"/>
    <w:rsid w:val="00D20D30"/>
    <w:rsid w:val="00D21D69"/>
    <w:rsid w:val="00D22939"/>
    <w:rsid w:val="00D22B80"/>
    <w:rsid w:val="00D24161"/>
    <w:rsid w:val="00D2446E"/>
    <w:rsid w:val="00D2478A"/>
    <w:rsid w:val="00D26D3D"/>
    <w:rsid w:val="00D2731A"/>
    <w:rsid w:val="00D30AFF"/>
    <w:rsid w:val="00D332C8"/>
    <w:rsid w:val="00D35630"/>
    <w:rsid w:val="00D35E46"/>
    <w:rsid w:val="00D364F7"/>
    <w:rsid w:val="00D36A95"/>
    <w:rsid w:val="00D379A1"/>
    <w:rsid w:val="00D40778"/>
    <w:rsid w:val="00D413DC"/>
    <w:rsid w:val="00D42595"/>
    <w:rsid w:val="00D42D80"/>
    <w:rsid w:val="00D4333F"/>
    <w:rsid w:val="00D43A1A"/>
    <w:rsid w:val="00D44279"/>
    <w:rsid w:val="00D44E04"/>
    <w:rsid w:val="00D464CC"/>
    <w:rsid w:val="00D500A7"/>
    <w:rsid w:val="00D50E07"/>
    <w:rsid w:val="00D531DB"/>
    <w:rsid w:val="00D53AFA"/>
    <w:rsid w:val="00D53F33"/>
    <w:rsid w:val="00D54447"/>
    <w:rsid w:val="00D5547A"/>
    <w:rsid w:val="00D55B79"/>
    <w:rsid w:val="00D56087"/>
    <w:rsid w:val="00D56331"/>
    <w:rsid w:val="00D56950"/>
    <w:rsid w:val="00D6091D"/>
    <w:rsid w:val="00D60F0C"/>
    <w:rsid w:val="00D60F8F"/>
    <w:rsid w:val="00D6205E"/>
    <w:rsid w:val="00D62FC4"/>
    <w:rsid w:val="00D6341D"/>
    <w:rsid w:val="00D664FF"/>
    <w:rsid w:val="00D66B7C"/>
    <w:rsid w:val="00D67096"/>
    <w:rsid w:val="00D70024"/>
    <w:rsid w:val="00D73233"/>
    <w:rsid w:val="00D736EC"/>
    <w:rsid w:val="00D7427F"/>
    <w:rsid w:val="00D747BA"/>
    <w:rsid w:val="00D74BD0"/>
    <w:rsid w:val="00D77217"/>
    <w:rsid w:val="00D815BC"/>
    <w:rsid w:val="00D81612"/>
    <w:rsid w:val="00D83789"/>
    <w:rsid w:val="00D8394E"/>
    <w:rsid w:val="00D83A5E"/>
    <w:rsid w:val="00D84165"/>
    <w:rsid w:val="00D85AE7"/>
    <w:rsid w:val="00D86024"/>
    <w:rsid w:val="00D86435"/>
    <w:rsid w:val="00D86BDB"/>
    <w:rsid w:val="00D92570"/>
    <w:rsid w:val="00D92CEF"/>
    <w:rsid w:val="00D92F82"/>
    <w:rsid w:val="00D93FE0"/>
    <w:rsid w:val="00D9478D"/>
    <w:rsid w:val="00D95308"/>
    <w:rsid w:val="00D97729"/>
    <w:rsid w:val="00D97B46"/>
    <w:rsid w:val="00DA1853"/>
    <w:rsid w:val="00DA1DD8"/>
    <w:rsid w:val="00DA2D4A"/>
    <w:rsid w:val="00DA4671"/>
    <w:rsid w:val="00DA5568"/>
    <w:rsid w:val="00DA5A23"/>
    <w:rsid w:val="00DA5B69"/>
    <w:rsid w:val="00DA6729"/>
    <w:rsid w:val="00DA7337"/>
    <w:rsid w:val="00DA772F"/>
    <w:rsid w:val="00DB0FE4"/>
    <w:rsid w:val="00DB193F"/>
    <w:rsid w:val="00DB39FF"/>
    <w:rsid w:val="00DB6F46"/>
    <w:rsid w:val="00DB7312"/>
    <w:rsid w:val="00DB794C"/>
    <w:rsid w:val="00DC1486"/>
    <w:rsid w:val="00DC2F57"/>
    <w:rsid w:val="00DC3435"/>
    <w:rsid w:val="00DC38FB"/>
    <w:rsid w:val="00DC3E7B"/>
    <w:rsid w:val="00DC47C6"/>
    <w:rsid w:val="00DC558F"/>
    <w:rsid w:val="00DC560C"/>
    <w:rsid w:val="00DC6F43"/>
    <w:rsid w:val="00DC7226"/>
    <w:rsid w:val="00DC7A90"/>
    <w:rsid w:val="00DD24A1"/>
    <w:rsid w:val="00DD28E8"/>
    <w:rsid w:val="00DD4485"/>
    <w:rsid w:val="00DD48C9"/>
    <w:rsid w:val="00DD4B87"/>
    <w:rsid w:val="00DD56F0"/>
    <w:rsid w:val="00DD59D5"/>
    <w:rsid w:val="00DD5E48"/>
    <w:rsid w:val="00DD6ED1"/>
    <w:rsid w:val="00DD7258"/>
    <w:rsid w:val="00DE06D0"/>
    <w:rsid w:val="00DE1FB0"/>
    <w:rsid w:val="00DE3892"/>
    <w:rsid w:val="00DE3D4C"/>
    <w:rsid w:val="00DE4653"/>
    <w:rsid w:val="00DE49D0"/>
    <w:rsid w:val="00DE4B68"/>
    <w:rsid w:val="00DE4BA0"/>
    <w:rsid w:val="00DE512A"/>
    <w:rsid w:val="00DE588C"/>
    <w:rsid w:val="00DE59EB"/>
    <w:rsid w:val="00DE5BD2"/>
    <w:rsid w:val="00DE73BB"/>
    <w:rsid w:val="00DE7F75"/>
    <w:rsid w:val="00DF0EAC"/>
    <w:rsid w:val="00DF2044"/>
    <w:rsid w:val="00DF31AB"/>
    <w:rsid w:val="00DF37A9"/>
    <w:rsid w:val="00DF3915"/>
    <w:rsid w:val="00DF3BC3"/>
    <w:rsid w:val="00DF42DB"/>
    <w:rsid w:val="00DF5086"/>
    <w:rsid w:val="00DF551B"/>
    <w:rsid w:val="00DF5B2A"/>
    <w:rsid w:val="00DF7D50"/>
    <w:rsid w:val="00E022DB"/>
    <w:rsid w:val="00E0365F"/>
    <w:rsid w:val="00E04375"/>
    <w:rsid w:val="00E0468A"/>
    <w:rsid w:val="00E047C0"/>
    <w:rsid w:val="00E05952"/>
    <w:rsid w:val="00E05B0C"/>
    <w:rsid w:val="00E0605D"/>
    <w:rsid w:val="00E07A06"/>
    <w:rsid w:val="00E07D45"/>
    <w:rsid w:val="00E10280"/>
    <w:rsid w:val="00E10571"/>
    <w:rsid w:val="00E108BA"/>
    <w:rsid w:val="00E10B06"/>
    <w:rsid w:val="00E10F09"/>
    <w:rsid w:val="00E11074"/>
    <w:rsid w:val="00E11521"/>
    <w:rsid w:val="00E11785"/>
    <w:rsid w:val="00E11F5F"/>
    <w:rsid w:val="00E126D6"/>
    <w:rsid w:val="00E129E9"/>
    <w:rsid w:val="00E1340C"/>
    <w:rsid w:val="00E1380F"/>
    <w:rsid w:val="00E13846"/>
    <w:rsid w:val="00E13EB5"/>
    <w:rsid w:val="00E14C0C"/>
    <w:rsid w:val="00E14D98"/>
    <w:rsid w:val="00E15021"/>
    <w:rsid w:val="00E1640C"/>
    <w:rsid w:val="00E17112"/>
    <w:rsid w:val="00E177D4"/>
    <w:rsid w:val="00E17F09"/>
    <w:rsid w:val="00E20179"/>
    <w:rsid w:val="00E202DD"/>
    <w:rsid w:val="00E204BA"/>
    <w:rsid w:val="00E20D52"/>
    <w:rsid w:val="00E2174A"/>
    <w:rsid w:val="00E22D04"/>
    <w:rsid w:val="00E24437"/>
    <w:rsid w:val="00E2472C"/>
    <w:rsid w:val="00E249C5"/>
    <w:rsid w:val="00E26897"/>
    <w:rsid w:val="00E27009"/>
    <w:rsid w:val="00E31175"/>
    <w:rsid w:val="00E3128D"/>
    <w:rsid w:val="00E31786"/>
    <w:rsid w:val="00E321BC"/>
    <w:rsid w:val="00E32304"/>
    <w:rsid w:val="00E3242C"/>
    <w:rsid w:val="00E33589"/>
    <w:rsid w:val="00E33776"/>
    <w:rsid w:val="00E34748"/>
    <w:rsid w:val="00E37C2F"/>
    <w:rsid w:val="00E40503"/>
    <w:rsid w:val="00E4151B"/>
    <w:rsid w:val="00E4195C"/>
    <w:rsid w:val="00E41A1E"/>
    <w:rsid w:val="00E41FDC"/>
    <w:rsid w:val="00E427F2"/>
    <w:rsid w:val="00E428E0"/>
    <w:rsid w:val="00E42C9F"/>
    <w:rsid w:val="00E42DF0"/>
    <w:rsid w:val="00E432F5"/>
    <w:rsid w:val="00E44494"/>
    <w:rsid w:val="00E44D32"/>
    <w:rsid w:val="00E455CA"/>
    <w:rsid w:val="00E4578A"/>
    <w:rsid w:val="00E47D63"/>
    <w:rsid w:val="00E53B5E"/>
    <w:rsid w:val="00E550D9"/>
    <w:rsid w:val="00E5552A"/>
    <w:rsid w:val="00E55E4B"/>
    <w:rsid w:val="00E55EB9"/>
    <w:rsid w:val="00E570B8"/>
    <w:rsid w:val="00E57290"/>
    <w:rsid w:val="00E57BC2"/>
    <w:rsid w:val="00E57DFC"/>
    <w:rsid w:val="00E608CD"/>
    <w:rsid w:val="00E61416"/>
    <w:rsid w:val="00E623C0"/>
    <w:rsid w:val="00E63BBB"/>
    <w:rsid w:val="00E64C3E"/>
    <w:rsid w:val="00E657DF"/>
    <w:rsid w:val="00E65DA8"/>
    <w:rsid w:val="00E65FFE"/>
    <w:rsid w:val="00E66271"/>
    <w:rsid w:val="00E671CE"/>
    <w:rsid w:val="00E6792C"/>
    <w:rsid w:val="00E67BC4"/>
    <w:rsid w:val="00E72228"/>
    <w:rsid w:val="00E748E0"/>
    <w:rsid w:val="00E74C91"/>
    <w:rsid w:val="00E806CB"/>
    <w:rsid w:val="00E8092B"/>
    <w:rsid w:val="00E80DC9"/>
    <w:rsid w:val="00E8122D"/>
    <w:rsid w:val="00E8190B"/>
    <w:rsid w:val="00E81DAC"/>
    <w:rsid w:val="00E830E3"/>
    <w:rsid w:val="00E83B86"/>
    <w:rsid w:val="00E8402D"/>
    <w:rsid w:val="00E84680"/>
    <w:rsid w:val="00E84777"/>
    <w:rsid w:val="00E86173"/>
    <w:rsid w:val="00E873DC"/>
    <w:rsid w:val="00E879C3"/>
    <w:rsid w:val="00E87EB5"/>
    <w:rsid w:val="00E937F0"/>
    <w:rsid w:val="00E93C84"/>
    <w:rsid w:val="00E94173"/>
    <w:rsid w:val="00E943E5"/>
    <w:rsid w:val="00E9468E"/>
    <w:rsid w:val="00E950C7"/>
    <w:rsid w:val="00E97329"/>
    <w:rsid w:val="00E97E30"/>
    <w:rsid w:val="00EA4352"/>
    <w:rsid w:val="00EA4C62"/>
    <w:rsid w:val="00EA56DB"/>
    <w:rsid w:val="00EA57C6"/>
    <w:rsid w:val="00EA6C5F"/>
    <w:rsid w:val="00EB2232"/>
    <w:rsid w:val="00EB25DF"/>
    <w:rsid w:val="00EB2A3B"/>
    <w:rsid w:val="00EB2CD9"/>
    <w:rsid w:val="00EB30E2"/>
    <w:rsid w:val="00EB3464"/>
    <w:rsid w:val="00EB5BA5"/>
    <w:rsid w:val="00EB628D"/>
    <w:rsid w:val="00EB7427"/>
    <w:rsid w:val="00EB7C96"/>
    <w:rsid w:val="00EC15E5"/>
    <w:rsid w:val="00EC20A8"/>
    <w:rsid w:val="00EC2687"/>
    <w:rsid w:val="00EC2E08"/>
    <w:rsid w:val="00EC387F"/>
    <w:rsid w:val="00EC4315"/>
    <w:rsid w:val="00EC489E"/>
    <w:rsid w:val="00EC4939"/>
    <w:rsid w:val="00EC5025"/>
    <w:rsid w:val="00EC5961"/>
    <w:rsid w:val="00EC73F5"/>
    <w:rsid w:val="00EC75F2"/>
    <w:rsid w:val="00EC7732"/>
    <w:rsid w:val="00EC7A08"/>
    <w:rsid w:val="00ED079A"/>
    <w:rsid w:val="00ED0D60"/>
    <w:rsid w:val="00ED0EB6"/>
    <w:rsid w:val="00ED1361"/>
    <w:rsid w:val="00ED1842"/>
    <w:rsid w:val="00ED22EE"/>
    <w:rsid w:val="00ED3023"/>
    <w:rsid w:val="00ED30F1"/>
    <w:rsid w:val="00ED490D"/>
    <w:rsid w:val="00ED4946"/>
    <w:rsid w:val="00ED4AE6"/>
    <w:rsid w:val="00ED4BD5"/>
    <w:rsid w:val="00ED512E"/>
    <w:rsid w:val="00ED520A"/>
    <w:rsid w:val="00ED5BE1"/>
    <w:rsid w:val="00ED5CCD"/>
    <w:rsid w:val="00ED64AA"/>
    <w:rsid w:val="00ED6CCE"/>
    <w:rsid w:val="00ED718A"/>
    <w:rsid w:val="00ED7453"/>
    <w:rsid w:val="00EE1448"/>
    <w:rsid w:val="00EE1EBA"/>
    <w:rsid w:val="00EE228A"/>
    <w:rsid w:val="00EE24B4"/>
    <w:rsid w:val="00EE3089"/>
    <w:rsid w:val="00EE3DE9"/>
    <w:rsid w:val="00EE4724"/>
    <w:rsid w:val="00EE4B43"/>
    <w:rsid w:val="00EE6B52"/>
    <w:rsid w:val="00EE6DB1"/>
    <w:rsid w:val="00EE7E4A"/>
    <w:rsid w:val="00EF0303"/>
    <w:rsid w:val="00EF21DF"/>
    <w:rsid w:val="00EF2B90"/>
    <w:rsid w:val="00EF35FE"/>
    <w:rsid w:val="00EF39C3"/>
    <w:rsid w:val="00EF3CA9"/>
    <w:rsid w:val="00EF569D"/>
    <w:rsid w:val="00EF629C"/>
    <w:rsid w:val="00EF6FDE"/>
    <w:rsid w:val="00EF70F5"/>
    <w:rsid w:val="00EF7452"/>
    <w:rsid w:val="00EF7456"/>
    <w:rsid w:val="00EF7BE6"/>
    <w:rsid w:val="00EF7E28"/>
    <w:rsid w:val="00F0033E"/>
    <w:rsid w:val="00F024B3"/>
    <w:rsid w:val="00F02BE9"/>
    <w:rsid w:val="00F033FC"/>
    <w:rsid w:val="00F03C3A"/>
    <w:rsid w:val="00F05FE3"/>
    <w:rsid w:val="00F076C3"/>
    <w:rsid w:val="00F1020E"/>
    <w:rsid w:val="00F10795"/>
    <w:rsid w:val="00F10965"/>
    <w:rsid w:val="00F10F73"/>
    <w:rsid w:val="00F115AB"/>
    <w:rsid w:val="00F1171C"/>
    <w:rsid w:val="00F11A26"/>
    <w:rsid w:val="00F12912"/>
    <w:rsid w:val="00F132F3"/>
    <w:rsid w:val="00F134DA"/>
    <w:rsid w:val="00F13811"/>
    <w:rsid w:val="00F151E4"/>
    <w:rsid w:val="00F15FBF"/>
    <w:rsid w:val="00F15FC9"/>
    <w:rsid w:val="00F178E6"/>
    <w:rsid w:val="00F17D24"/>
    <w:rsid w:val="00F20FBF"/>
    <w:rsid w:val="00F21363"/>
    <w:rsid w:val="00F21A6A"/>
    <w:rsid w:val="00F21D06"/>
    <w:rsid w:val="00F228F8"/>
    <w:rsid w:val="00F2350A"/>
    <w:rsid w:val="00F24D10"/>
    <w:rsid w:val="00F2586A"/>
    <w:rsid w:val="00F25CB9"/>
    <w:rsid w:val="00F26A06"/>
    <w:rsid w:val="00F26AE5"/>
    <w:rsid w:val="00F27F8F"/>
    <w:rsid w:val="00F30862"/>
    <w:rsid w:val="00F32502"/>
    <w:rsid w:val="00F3316A"/>
    <w:rsid w:val="00F33276"/>
    <w:rsid w:val="00F33BE0"/>
    <w:rsid w:val="00F35466"/>
    <w:rsid w:val="00F35A5F"/>
    <w:rsid w:val="00F36B6C"/>
    <w:rsid w:val="00F40174"/>
    <w:rsid w:val="00F408F9"/>
    <w:rsid w:val="00F41906"/>
    <w:rsid w:val="00F42406"/>
    <w:rsid w:val="00F42D19"/>
    <w:rsid w:val="00F43F56"/>
    <w:rsid w:val="00F44566"/>
    <w:rsid w:val="00F445AF"/>
    <w:rsid w:val="00F45268"/>
    <w:rsid w:val="00F45302"/>
    <w:rsid w:val="00F4582B"/>
    <w:rsid w:val="00F45EB4"/>
    <w:rsid w:val="00F4626F"/>
    <w:rsid w:val="00F46BD9"/>
    <w:rsid w:val="00F471EA"/>
    <w:rsid w:val="00F47566"/>
    <w:rsid w:val="00F47B20"/>
    <w:rsid w:val="00F5040F"/>
    <w:rsid w:val="00F50BB9"/>
    <w:rsid w:val="00F511B7"/>
    <w:rsid w:val="00F53B4F"/>
    <w:rsid w:val="00F56503"/>
    <w:rsid w:val="00F567E7"/>
    <w:rsid w:val="00F57357"/>
    <w:rsid w:val="00F600DD"/>
    <w:rsid w:val="00F62557"/>
    <w:rsid w:val="00F62A86"/>
    <w:rsid w:val="00F6398A"/>
    <w:rsid w:val="00F643A2"/>
    <w:rsid w:val="00F64546"/>
    <w:rsid w:val="00F64DA7"/>
    <w:rsid w:val="00F65C69"/>
    <w:rsid w:val="00F6759A"/>
    <w:rsid w:val="00F701C0"/>
    <w:rsid w:val="00F70BAF"/>
    <w:rsid w:val="00F70FEB"/>
    <w:rsid w:val="00F7102C"/>
    <w:rsid w:val="00F71943"/>
    <w:rsid w:val="00F7196F"/>
    <w:rsid w:val="00F73D6B"/>
    <w:rsid w:val="00F76CDF"/>
    <w:rsid w:val="00F77238"/>
    <w:rsid w:val="00F779E0"/>
    <w:rsid w:val="00F81080"/>
    <w:rsid w:val="00F810C5"/>
    <w:rsid w:val="00F815AF"/>
    <w:rsid w:val="00F81B27"/>
    <w:rsid w:val="00F824C1"/>
    <w:rsid w:val="00F824D3"/>
    <w:rsid w:val="00F8443F"/>
    <w:rsid w:val="00F844FD"/>
    <w:rsid w:val="00F85217"/>
    <w:rsid w:val="00F85CF3"/>
    <w:rsid w:val="00F90F81"/>
    <w:rsid w:val="00F916BD"/>
    <w:rsid w:val="00F95ED3"/>
    <w:rsid w:val="00F965AC"/>
    <w:rsid w:val="00F965E4"/>
    <w:rsid w:val="00F97770"/>
    <w:rsid w:val="00FA0DB7"/>
    <w:rsid w:val="00FA13A8"/>
    <w:rsid w:val="00FA1635"/>
    <w:rsid w:val="00FA1712"/>
    <w:rsid w:val="00FA496D"/>
    <w:rsid w:val="00FA5BE3"/>
    <w:rsid w:val="00FA5C99"/>
    <w:rsid w:val="00FA6A79"/>
    <w:rsid w:val="00FA6B9F"/>
    <w:rsid w:val="00FA7721"/>
    <w:rsid w:val="00FA7722"/>
    <w:rsid w:val="00FB01CF"/>
    <w:rsid w:val="00FB0E34"/>
    <w:rsid w:val="00FB192B"/>
    <w:rsid w:val="00FB2868"/>
    <w:rsid w:val="00FB2DDD"/>
    <w:rsid w:val="00FB39BB"/>
    <w:rsid w:val="00FB429A"/>
    <w:rsid w:val="00FB61A6"/>
    <w:rsid w:val="00FB7DE1"/>
    <w:rsid w:val="00FC027C"/>
    <w:rsid w:val="00FC087B"/>
    <w:rsid w:val="00FC0998"/>
    <w:rsid w:val="00FC134C"/>
    <w:rsid w:val="00FC1A44"/>
    <w:rsid w:val="00FC20DC"/>
    <w:rsid w:val="00FC2303"/>
    <w:rsid w:val="00FC281C"/>
    <w:rsid w:val="00FC29F0"/>
    <w:rsid w:val="00FC311A"/>
    <w:rsid w:val="00FC3CC5"/>
    <w:rsid w:val="00FC3EDD"/>
    <w:rsid w:val="00FC461D"/>
    <w:rsid w:val="00FC4728"/>
    <w:rsid w:val="00FC57B4"/>
    <w:rsid w:val="00FC598B"/>
    <w:rsid w:val="00FC59C6"/>
    <w:rsid w:val="00FC612F"/>
    <w:rsid w:val="00FC64E1"/>
    <w:rsid w:val="00FC6865"/>
    <w:rsid w:val="00FC7D73"/>
    <w:rsid w:val="00FD157D"/>
    <w:rsid w:val="00FD1971"/>
    <w:rsid w:val="00FD1A08"/>
    <w:rsid w:val="00FD4CBE"/>
    <w:rsid w:val="00FD4DCE"/>
    <w:rsid w:val="00FD4FDB"/>
    <w:rsid w:val="00FD5CCA"/>
    <w:rsid w:val="00FD6064"/>
    <w:rsid w:val="00FD662D"/>
    <w:rsid w:val="00FD755A"/>
    <w:rsid w:val="00FD76D3"/>
    <w:rsid w:val="00FD7B89"/>
    <w:rsid w:val="00FE0C65"/>
    <w:rsid w:val="00FE1381"/>
    <w:rsid w:val="00FE28A0"/>
    <w:rsid w:val="00FE2F61"/>
    <w:rsid w:val="00FE2F67"/>
    <w:rsid w:val="00FE39D7"/>
    <w:rsid w:val="00FE3E83"/>
    <w:rsid w:val="00FE4868"/>
    <w:rsid w:val="00FE4907"/>
    <w:rsid w:val="00FE5147"/>
    <w:rsid w:val="00FE55C2"/>
    <w:rsid w:val="00FE55E0"/>
    <w:rsid w:val="00FE5D0C"/>
    <w:rsid w:val="00FE5F75"/>
    <w:rsid w:val="00FE71A6"/>
    <w:rsid w:val="00FE7AD7"/>
    <w:rsid w:val="00FE7CBD"/>
    <w:rsid w:val="00FF0426"/>
    <w:rsid w:val="00FF33BE"/>
    <w:rsid w:val="00FF3776"/>
    <w:rsid w:val="00FF3CF8"/>
    <w:rsid w:val="00FF4E1E"/>
    <w:rsid w:val="00FF55AC"/>
    <w:rsid w:val="00FF5A01"/>
    <w:rsid w:val="00FF67B7"/>
    <w:rsid w:val="056E0AA8"/>
    <w:rsid w:val="065D35AE"/>
    <w:rsid w:val="07D37F63"/>
    <w:rsid w:val="09535A1B"/>
    <w:rsid w:val="0D1D27D5"/>
    <w:rsid w:val="11AE3A47"/>
    <w:rsid w:val="2A227FF4"/>
    <w:rsid w:val="40C47093"/>
    <w:rsid w:val="59663AFA"/>
    <w:rsid w:val="65E26450"/>
    <w:rsid w:val="67706676"/>
    <w:rsid w:val="67D5729E"/>
    <w:rsid w:val="6D9F6EBE"/>
    <w:rsid w:val="6FC7326F"/>
    <w:rsid w:val="76107173"/>
    <w:rsid w:val="779E42D6"/>
    <w:rsid w:val="78023807"/>
    <w:rsid w:val="7E8854DA"/>
    <w:rsid w:val="7EEA6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40" w:lineRule="exact"/>
      <w:outlineLvl w:val="2"/>
    </w:pPr>
    <w:rPr>
      <w:b/>
      <w:bCs/>
      <w:sz w:val="30"/>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qFormat/>
    <w:uiPriority w:val="0"/>
    <w:pPr>
      <w:shd w:val="clear" w:color="auto" w:fill="000080"/>
    </w:pPr>
  </w:style>
  <w:style w:type="paragraph" w:styleId="6">
    <w:name w:val="annotation text"/>
    <w:basedOn w:val="1"/>
    <w:link w:val="24"/>
    <w:semiHidden/>
    <w:qFormat/>
    <w:uiPriority w:val="0"/>
    <w:pPr>
      <w:jc w:val="left"/>
    </w:pPr>
  </w:style>
  <w:style w:type="paragraph" w:styleId="7">
    <w:name w:val="Body Text"/>
    <w:basedOn w:val="1"/>
    <w:qFormat/>
    <w:uiPriority w:val="0"/>
    <w:rPr>
      <w:rFonts w:ascii="宋体" w:hAnsi="宋体"/>
      <w:i/>
      <w:iCs/>
      <w:szCs w:val="21"/>
    </w:rPr>
  </w:style>
  <w:style w:type="paragraph" w:styleId="8">
    <w:name w:val="Body Text Indent"/>
    <w:basedOn w:val="1"/>
    <w:qFormat/>
    <w:uiPriority w:val="0"/>
    <w:pPr>
      <w:spacing w:after="120"/>
      <w:ind w:left="420" w:leftChars="200"/>
    </w:pPr>
    <w:rPr>
      <w:szCs w:val="24"/>
    </w:rPr>
  </w:style>
  <w:style w:type="paragraph" w:styleId="9">
    <w:name w:val="toc 3"/>
    <w:basedOn w:val="1"/>
    <w:next w:val="1"/>
    <w:qFormat/>
    <w:uiPriority w:val="39"/>
    <w:pPr>
      <w:spacing w:line="460" w:lineRule="exact"/>
    </w:pPr>
    <w:rPr>
      <w:sz w:val="24"/>
    </w:rPr>
  </w:style>
  <w:style w:type="paragraph" w:styleId="10">
    <w:name w:val="Date"/>
    <w:basedOn w:val="1"/>
    <w:next w:val="1"/>
    <w:qFormat/>
    <w:uiPriority w:val="0"/>
    <w:pPr>
      <w:ind w:left="100" w:leftChars="2500"/>
    </w:pPr>
  </w:style>
  <w:style w:type="paragraph" w:styleId="11">
    <w:name w:val="Balloon Text"/>
    <w:basedOn w:val="1"/>
    <w:link w:val="25"/>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sz w:val="18"/>
    </w:rPr>
  </w:style>
  <w:style w:type="paragraph" w:styleId="13">
    <w:name w:val="header"/>
    <w:basedOn w:val="1"/>
    <w:link w:val="27"/>
    <w:qFormat/>
    <w:uiPriority w:val="99"/>
    <w:pPr>
      <w:tabs>
        <w:tab w:val="center" w:pos="4153"/>
        <w:tab w:val="right" w:pos="8306"/>
      </w:tabs>
      <w:snapToGrid w:val="0"/>
      <w:jc w:val="center"/>
    </w:pPr>
    <w:rPr>
      <w:sz w:val="18"/>
      <w:szCs w:val="18"/>
    </w:rPr>
  </w:style>
  <w:style w:type="paragraph" w:styleId="14">
    <w:name w:val="toc 1"/>
    <w:basedOn w:val="1"/>
    <w:next w:val="1"/>
    <w:qFormat/>
    <w:uiPriority w:val="39"/>
    <w:pPr>
      <w:spacing w:line="400" w:lineRule="exact"/>
    </w:pPr>
    <w:rPr>
      <w:sz w:val="24"/>
    </w:rPr>
  </w:style>
  <w:style w:type="paragraph" w:styleId="15">
    <w:name w:val="toc 6"/>
    <w:basedOn w:val="1"/>
    <w:next w:val="1"/>
    <w:semiHidden/>
    <w:qFormat/>
    <w:uiPriority w:val="0"/>
    <w:pPr>
      <w:ind w:left="2100" w:leftChars="1000"/>
    </w:pPr>
    <w:rPr>
      <w:szCs w:val="24"/>
    </w:rPr>
  </w:style>
  <w:style w:type="paragraph" w:styleId="16">
    <w:name w:val="toc 2"/>
    <w:basedOn w:val="1"/>
    <w:next w:val="1"/>
    <w:qFormat/>
    <w:uiPriority w:val="39"/>
    <w:pPr>
      <w:tabs>
        <w:tab w:val="right" w:leader="dot" w:pos="9060"/>
      </w:tabs>
      <w:spacing w:line="460" w:lineRule="exact"/>
    </w:pPr>
    <w:rPr>
      <w:color w:val="7030A0"/>
      <w:sz w:val="24"/>
      <w:szCs w:val="21"/>
    </w:rPr>
  </w:style>
  <w:style w:type="paragraph" w:styleId="17">
    <w:name w:val="Body Text 2"/>
    <w:basedOn w:val="1"/>
    <w:link w:val="28"/>
    <w:qFormat/>
    <w:uiPriority w:val="0"/>
    <w:pPr>
      <w:spacing w:after="120" w:line="480" w:lineRule="auto"/>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qFormat/>
    <w:uiPriority w:val="99"/>
    <w:rPr>
      <w:color w:val="0000FF"/>
      <w:u w:val="single"/>
    </w:rPr>
  </w:style>
  <w:style w:type="character" w:customStyle="1" w:styleId="24">
    <w:name w:val="批注文字 Char"/>
    <w:link w:val="6"/>
    <w:semiHidden/>
    <w:qFormat/>
    <w:uiPriority w:val="0"/>
    <w:rPr>
      <w:kern w:val="2"/>
      <w:sz w:val="21"/>
    </w:rPr>
  </w:style>
  <w:style w:type="character" w:customStyle="1" w:styleId="25">
    <w:name w:val="批注框文本 Char"/>
    <w:basedOn w:val="21"/>
    <w:link w:val="11"/>
    <w:qFormat/>
    <w:uiPriority w:val="99"/>
    <w:rPr>
      <w:kern w:val="2"/>
      <w:sz w:val="18"/>
      <w:szCs w:val="18"/>
    </w:rPr>
  </w:style>
  <w:style w:type="character" w:customStyle="1" w:styleId="26">
    <w:name w:val="页脚 Char"/>
    <w:basedOn w:val="21"/>
    <w:link w:val="12"/>
    <w:qFormat/>
    <w:uiPriority w:val="99"/>
    <w:rPr>
      <w:kern w:val="2"/>
      <w:sz w:val="18"/>
    </w:rPr>
  </w:style>
  <w:style w:type="character" w:customStyle="1" w:styleId="27">
    <w:name w:val="页眉 Char"/>
    <w:basedOn w:val="21"/>
    <w:link w:val="13"/>
    <w:qFormat/>
    <w:uiPriority w:val="99"/>
    <w:rPr>
      <w:kern w:val="2"/>
      <w:sz w:val="18"/>
      <w:szCs w:val="18"/>
    </w:rPr>
  </w:style>
  <w:style w:type="character" w:customStyle="1" w:styleId="28">
    <w:name w:val="正文文本 2 Char"/>
    <w:link w:val="17"/>
    <w:qFormat/>
    <w:uiPriority w:val="0"/>
    <w:rPr>
      <w:kern w:val="2"/>
      <w:sz w:val="21"/>
    </w:rPr>
  </w:style>
  <w:style w:type="paragraph" w:customStyle="1" w:styleId="29">
    <w:name w:val="纯文本1"/>
    <w:basedOn w:val="1"/>
    <w:qFormat/>
    <w:uiPriority w:val="0"/>
    <w:pPr>
      <w:adjustRightInd w:val="0"/>
      <w:textAlignment w:val="baseline"/>
    </w:pPr>
    <w:rPr>
      <w:rFonts w:ascii="宋体" w:hAnsi="Courier New"/>
    </w:rPr>
  </w:style>
  <w:style w:type="paragraph" w:customStyle="1" w:styleId="30">
    <w:name w:val="Char2 Char Char Char"/>
    <w:basedOn w:val="1"/>
    <w:qFormat/>
    <w:uiPriority w:val="0"/>
    <w:pPr>
      <w:widowControl/>
      <w:spacing w:after="160" w:line="240" w:lineRule="exact"/>
      <w:jc w:val="left"/>
    </w:pPr>
    <w:rPr>
      <w:rFonts w:ascii="Verdana" w:hAnsi="Verdana"/>
      <w:kern w:val="0"/>
      <w:sz w:val="20"/>
      <w:lang w:eastAsia="en-US"/>
    </w:rPr>
  </w:style>
  <w:style w:type="paragraph" w:customStyle="1" w:styleId="31">
    <w:name w:val="样式 标题 1 +"/>
    <w:basedOn w:val="2"/>
    <w:qFormat/>
    <w:uiPriority w:val="0"/>
    <w:pPr>
      <w:spacing w:before="0" w:after="0" w:line="440" w:lineRule="exact"/>
      <w:ind w:firstLine="420" w:firstLineChars="200"/>
    </w:pPr>
    <w:rPr>
      <w:rFonts w:eastAsia="黑体"/>
      <w:b w:val="0"/>
      <w:kern w:val="0"/>
      <w:sz w:val="21"/>
    </w:rPr>
  </w:style>
  <w:style w:type="paragraph" w:customStyle="1" w:styleId="32">
    <w:name w:val="Char"/>
    <w:basedOn w:val="1"/>
    <w:qFormat/>
    <w:uiPriority w:val="0"/>
    <w:pPr>
      <w:widowControl/>
      <w:spacing w:after="160" w:line="240" w:lineRule="exact"/>
      <w:jc w:val="left"/>
    </w:pPr>
    <w:rPr>
      <w:rFonts w:ascii="Verdana" w:hAnsi="Verdana"/>
      <w:kern w:val="0"/>
      <w:sz w:val="20"/>
      <w:lang w:eastAsia="en-US"/>
    </w:rPr>
  </w:style>
  <w:style w:type="paragraph" w:customStyle="1" w:styleId="33">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4">
    <w:name w:val="默认段落字体 Para Char Char Char Char Char Char Char"/>
    <w:basedOn w:val="1"/>
    <w:qFormat/>
    <w:uiPriority w:val="0"/>
    <w:rPr>
      <w:rFonts w:ascii="Tahoma" w:hAnsi="Tahoma"/>
      <w:sz w:val="24"/>
    </w:rPr>
  </w:style>
  <w:style w:type="paragraph" w:customStyle="1" w:styleId="35">
    <w:name w:val="样式 标题 2 +"/>
    <w:basedOn w:val="3"/>
    <w:qFormat/>
    <w:uiPriority w:val="0"/>
    <w:pPr>
      <w:spacing w:before="0" w:after="0" w:line="440" w:lineRule="exact"/>
      <w:ind w:firstLine="422" w:firstLineChars="200"/>
    </w:pPr>
    <w:rPr>
      <w:rFonts w:ascii="宋体" w:hAnsi="宋体" w:eastAsia="宋体"/>
      <w:bCs w:val="0"/>
      <w:sz w:val="21"/>
      <w:szCs w:val="20"/>
    </w:rPr>
  </w:style>
  <w:style w:type="paragraph" w:customStyle="1" w:styleId="36">
    <w:name w:val="列出段落1"/>
    <w:basedOn w:val="1"/>
    <w:qFormat/>
    <w:uiPriority w:val="34"/>
    <w:pPr>
      <w:ind w:firstLine="420" w:firstLineChars="200"/>
    </w:pPr>
    <w:rPr>
      <w:rFonts w:ascii="Calibri" w:hAnsi="Calibri"/>
      <w:szCs w:val="22"/>
    </w:rPr>
  </w:style>
  <w:style w:type="paragraph" w:customStyle="1" w:styleId="37">
    <w:name w:val="表文"/>
    <w:basedOn w:val="1"/>
    <w:qFormat/>
    <w:uiPriority w:val="0"/>
    <w:pPr>
      <w:topLinePunct/>
    </w:pPr>
    <w:rPr>
      <w:kern w:val="0"/>
      <w:sz w:val="18"/>
      <w:szCs w:val="18"/>
    </w:rPr>
  </w:style>
  <w:style w:type="paragraph" w:customStyle="1" w:styleId="38">
    <w:name w:val="正文（生产细则）"/>
    <w:basedOn w:val="1"/>
    <w:qFormat/>
    <w:uiPriority w:val="0"/>
    <w:pPr>
      <w:adjustRightInd w:val="0"/>
      <w:snapToGrid w:val="0"/>
      <w:spacing w:line="300" w:lineRule="auto"/>
      <w:ind w:firstLine="200" w:firstLineChars="200"/>
    </w:pPr>
    <w:rPr>
      <w:rFonts w:eastAsia="仿宋_GB2312"/>
      <w:color w:val="000000"/>
      <w:sz w:val="24"/>
      <w:szCs w:val="24"/>
    </w:rPr>
  </w:style>
  <w:style w:type="character" w:customStyle="1" w:styleId="39">
    <w:name w:val="clabel1"/>
    <w:qFormat/>
    <w:uiPriority w:val="0"/>
    <w:rPr>
      <w:color w:val="FF0000"/>
    </w:rPr>
  </w:style>
  <w:style w:type="paragraph" w:customStyle="1" w:styleId="40">
    <w:name w:val="列出段落111"/>
    <w:basedOn w:val="1"/>
    <w:qFormat/>
    <w:uiPriority w:val="0"/>
    <w:pPr>
      <w:ind w:firstLine="420" w:firstLineChars="200"/>
    </w:pPr>
    <w:rPr>
      <w:rFonts w:ascii="Calibri" w:hAnsi="Calibri" w:cs="Calibri"/>
      <w:szCs w:val="21"/>
    </w:rPr>
  </w:style>
  <w:style w:type="paragraph" w:customStyle="1" w:styleId="41">
    <w:name w:val="纯文本11"/>
    <w:basedOn w:val="1"/>
    <w:qFormat/>
    <w:uiPriority w:val="0"/>
    <w:pPr>
      <w:adjustRightInd w:val="0"/>
      <w:textAlignment w:val="baseline"/>
    </w:pPr>
    <w:rPr>
      <w:rFonts w:ascii="宋体" w:hAnsi="Courier New"/>
    </w:rPr>
  </w:style>
  <w:style w:type="paragraph" w:customStyle="1" w:styleId="42">
    <w:name w:val="Char2 Char Char Char1"/>
    <w:basedOn w:val="1"/>
    <w:qFormat/>
    <w:uiPriority w:val="0"/>
    <w:pPr>
      <w:widowControl/>
      <w:spacing w:after="160" w:line="240" w:lineRule="exact"/>
      <w:jc w:val="left"/>
    </w:pPr>
    <w:rPr>
      <w:rFonts w:ascii="Verdana" w:hAnsi="Verdana"/>
      <w:kern w:val="0"/>
      <w:sz w:val="20"/>
      <w:lang w:eastAsia="en-US"/>
    </w:rPr>
  </w:style>
  <w:style w:type="paragraph" w:customStyle="1" w:styleId="43">
    <w:name w:val="Char1"/>
    <w:basedOn w:val="1"/>
    <w:qFormat/>
    <w:uiPriority w:val="0"/>
    <w:pPr>
      <w:widowControl/>
      <w:spacing w:after="160" w:line="240" w:lineRule="exact"/>
      <w:jc w:val="left"/>
    </w:pPr>
    <w:rPr>
      <w:rFonts w:ascii="Verdana" w:hAnsi="Verdana"/>
      <w:kern w:val="0"/>
      <w:sz w:val="20"/>
      <w:lang w:eastAsia="en-US"/>
    </w:rPr>
  </w:style>
  <w:style w:type="paragraph" w:customStyle="1" w:styleId="44">
    <w:name w:val="列出段落11"/>
    <w:basedOn w:val="1"/>
    <w:qFormat/>
    <w:uiPriority w:val="0"/>
    <w:pPr>
      <w:ind w:firstLine="420" w:firstLineChars="200"/>
    </w:pPr>
    <w:rPr>
      <w:rFonts w:ascii="Calibri" w:hAnsi="Calibri" w:cs="Calibri"/>
      <w:szCs w:val="21"/>
    </w:rPr>
  </w:style>
  <w:style w:type="paragraph" w:customStyle="1" w:styleId="45">
    <w:name w:val="列出段落2"/>
    <w:basedOn w:val="1"/>
    <w:qFormat/>
    <w:uiPriority w:val="0"/>
    <w:pPr>
      <w:ind w:firstLine="420" w:firstLineChars="200"/>
    </w:pPr>
    <w:rPr>
      <w:rFonts w:ascii="Calibri" w:hAnsi="Calibri" w:cs="Calibri"/>
      <w:szCs w:val="21"/>
    </w:rPr>
  </w:style>
  <w:style w:type="paragraph" w:customStyle="1" w:styleId="46">
    <w:name w:val="Plain Text1"/>
    <w:basedOn w:val="1"/>
    <w:qFormat/>
    <w:uiPriority w:val="0"/>
    <w:pPr>
      <w:adjustRightInd w:val="0"/>
    </w:pPr>
    <w:rPr>
      <w:rFonts w:ascii="宋体" w:hAnsi="Courier New"/>
    </w:rPr>
  </w:style>
  <w:style w:type="paragraph" w:styleId="4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ABFA1-F8F1-4E97-8B57-C3D4DB416C1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59</Pages>
  <Words>28140</Words>
  <Characters>34501</Characters>
  <Lines>293</Lines>
  <Paragraphs>82</Paragraphs>
  <TotalTime>1</TotalTime>
  <ScaleCrop>false</ScaleCrop>
  <LinksUpToDate>false</LinksUpToDate>
  <CharactersWithSpaces>35503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2018-10-19T01:08:00Z</dcterms:created>
  <dc:creator>user</dc:creator>
  <cp:lastModifiedBy>我想和你借一程</cp:lastModifiedBy>
  <cp:lastPrinted>2018-11-14T09:01:00Z</cp:lastPrinted>
  <dcterms:modified xsi:type="dcterms:W3CDTF">2023-05-04T10:02:24Z</dcterms:modified>
  <dc:title>编号：XK××-×××</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8F814F11FB594BEFB1525FDA43863C19_13</vt:lpwstr>
  </property>
</Properties>
</file>