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562"/>
        </w:tabs>
        <w:kinsoku/>
        <w:wordWrap/>
        <w:overflowPunct/>
        <w:topLinePunct w:val="0"/>
        <w:autoSpaceDE/>
        <w:autoSpaceDN/>
        <w:bidi w:val="0"/>
        <w:adjustRightInd/>
        <w:snapToGrid/>
        <w:spacing w:before="5460" w:beforeLines="1750" w:after="0" w:afterLines="0" w:line="578" w:lineRule="exact"/>
        <w:ind w:left="0" w:leftChars="0" w:right="0" w:rightChars="0" w:firstLine="0" w:firstLineChars="0"/>
        <w:jc w:val="center"/>
        <w:textAlignment w:val="auto"/>
        <w:outlineLvl w:val="9"/>
        <w:rPr>
          <w:rFonts w:hint="eastAsia" w:ascii="仿宋" w:hAnsi="仿宋" w:eastAsia="仿宋"/>
          <w:color w:val="auto"/>
          <w:sz w:val="32"/>
          <w:szCs w:val="32"/>
        </w:rPr>
      </w:pPr>
      <w:bookmarkStart w:id="1" w:name="_GoBack"/>
      <w:bookmarkEnd w:id="1"/>
      <w:r>
        <w:rPr>
          <w:rFonts w:hint="eastAsia" w:ascii="仿宋_GB2312" w:hAnsi="仿宋_GB2312" w:eastAsia="仿宋_GB2312" w:cs="仿宋_GB2312"/>
          <w:color w:val="auto"/>
          <w:sz w:val="32"/>
          <w:szCs w:val="32"/>
          <w:lang w:eastAsia="zh-CN"/>
        </w:rPr>
        <w:t>鄂环准审字</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23</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before="875" w:beforeLines="280" w:beforeAutospacing="0" w:afterAutospacing="0" w:line="578" w:lineRule="exact"/>
        <w:jc w:val="both"/>
        <w:textAlignment w:val="auto"/>
        <w:rPr>
          <w:rFonts w:hint="eastAsia" w:ascii="仿宋_GB2312" w:hAnsi="仿宋_GB2312" w:eastAsia="仿宋_GB2312" w:cs="仿宋_GB2312"/>
          <w:color w:val="auto"/>
          <w:spacing w:val="0"/>
          <w:kern w:val="0"/>
          <w:sz w:val="44"/>
          <w:szCs w:val="44"/>
          <w:lang w:eastAsia="zh-CN"/>
        </w:rPr>
      </w:pPr>
      <w:r>
        <w:rPr>
          <w:rFonts w:hint="eastAsia" w:ascii="方正小标宋简体" w:hAnsi="仿宋" w:eastAsia="方正小标宋简体" w:cs="Times New Roman"/>
          <w:color w:val="auto"/>
          <w:spacing w:val="0"/>
          <w:sz w:val="44"/>
          <w:szCs w:val="44"/>
          <w:lang w:eastAsia="zh-CN"/>
        </w:rPr>
        <w:t>鄂尔多斯市生态环境局准格尔旗分局</w:t>
      </w:r>
    </w:p>
    <w:p>
      <w:pPr>
        <w:spacing w:beforeAutospacing="0" w:afterAutospacing="0" w:line="578" w:lineRule="exact"/>
        <w:ind w:left="418" w:leftChars="0" w:hanging="418" w:hangingChars="100"/>
        <w:jc w:val="center"/>
        <w:rPr>
          <w:rFonts w:hint="default" w:ascii="方正小标宋简体" w:hAnsi="仿宋" w:eastAsia="方正小标宋简体" w:cs="Times New Roman"/>
          <w:color w:val="auto"/>
          <w:spacing w:val="0"/>
          <w:sz w:val="44"/>
          <w:szCs w:val="44"/>
          <w:lang w:val="en-US" w:eastAsia="zh-CN"/>
        </w:rPr>
      </w:pPr>
      <w:r>
        <w:rPr>
          <w:rFonts w:hint="eastAsia" w:ascii="方正小标宋简体" w:hAnsi="仿宋" w:eastAsia="方正小标宋简体"/>
          <w:color w:val="auto"/>
          <w:spacing w:val="-11"/>
          <w:sz w:val="44"/>
          <w:szCs w:val="44"/>
        </w:rPr>
        <w:t>关</w:t>
      </w:r>
      <w:r>
        <w:rPr>
          <w:rFonts w:hint="eastAsia" w:ascii="方正小标宋简体" w:hAnsi="仿宋" w:eastAsia="方正小标宋简体" w:cs="Times New Roman"/>
          <w:color w:val="auto"/>
          <w:spacing w:val="0"/>
          <w:sz w:val="44"/>
          <w:szCs w:val="44"/>
          <w:lang w:eastAsia="zh-CN"/>
        </w:rPr>
        <w:t>于</w:t>
      </w:r>
      <w:bookmarkStart w:id="0" w:name="_Hlk100215791"/>
      <w:r>
        <w:rPr>
          <w:rFonts w:hint="eastAsia" w:ascii="方正小标宋简体" w:hAnsi="仿宋" w:eastAsia="方正小标宋简体" w:cs="Times New Roman"/>
          <w:color w:val="auto"/>
          <w:spacing w:val="0"/>
          <w:sz w:val="44"/>
          <w:szCs w:val="44"/>
          <w:lang w:val="en-US" w:eastAsia="zh-CN"/>
        </w:rPr>
        <w:t>内蒙古伊东煤炭集团有限责任公司</w:t>
      </w:r>
      <w:bookmarkEnd w:id="0"/>
      <w:r>
        <w:rPr>
          <w:rFonts w:hint="eastAsia" w:ascii="方正小标宋简体" w:hAnsi="仿宋" w:eastAsia="方正小标宋简体" w:cs="Times New Roman"/>
          <w:color w:val="auto"/>
          <w:spacing w:val="0"/>
          <w:sz w:val="44"/>
          <w:szCs w:val="44"/>
          <w:lang w:val="en-US" w:eastAsia="zh-CN"/>
        </w:rPr>
        <w:t>沙咀子煤矿采空区灾害综合治理工程变更</w:t>
      </w:r>
      <w:r>
        <w:rPr>
          <w:rFonts w:hint="default" w:ascii="方正小标宋简体" w:hAnsi="仿宋" w:eastAsia="方正小标宋简体" w:cs="Times New Roman"/>
          <w:color w:val="auto"/>
          <w:spacing w:val="0"/>
          <w:sz w:val="44"/>
          <w:szCs w:val="44"/>
          <w:lang w:val="en-US" w:eastAsia="zh-CN"/>
        </w:rPr>
        <w:t>项目</w:t>
      </w:r>
    </w:p>
    <w:p>
      <w:pPr>
        <w:spacing w:beforeAutospacing="0" w:afterAutospacing="0" w:line="578" w:lineRule="exact"/>
        <w:ind w:left="440" w:leftChars="0" w:hanging="440" w:hangingChars="100"/>
        <w:jc w:val="center"/>
        <w:rPr>
          <w:rFonts w:hint="eastAsia" w:ascii="方正小标宋简体" w:hAnsi="仿宋" w:eastAsia="方正小标宋简体"/>
          <w:color w:val="auto"/>
          <w:spacing w:val="0"/>
          <w:sz w:val="44"/>
          <w:szCs w:val="44"/>
          <w:lang w:val="en-US" w:eastAsia="zh-CN"/>
        </w:rPr>
      </w:pPr>
      <w:r>
        <w:rPr>
          <w:rFonts w:hint="eastAsia" w:ascii="方正小标宋简体" w:hAnsi="仿宋" w:eastAsia="方正小标宋简体"/>
          <w:color w:val="auto"/>
          <w:spacing w:val="0"/>
          <w:sz w:val="44"/>
          <w:szCs w:val="44"/>
          <w:lang w:val="en-US" w:eastAsia="zh-CN"/>
        </w:rPr>
        <w:t>环境影响报告表的批复</w:t>
      </w:r>
    </w:p>
    <w:p>
      <w:pPr>
        <w:spacing w:beforeAutospacing="0" w:afterAutospacing="0" w:line="578" w:lineRule="exact"/>
        <w:jc w:val="center"/>
        <w:rPr>
          <w:rFonts w:hint="eastAsia" w:ascii="方正小标宋简体" w:hAnsi="仿宋" w:eastAsia="方正小标宋简体"/>
          <w:color w:val="auto"/>
          <w:spacing w:val="0"/>
          <w:sz w:val="44"/>
          <w:szCs w:val="44"/>
          <w:lang w:eastAsia="zh-CN"/>
        </w:rPr>
      </w:pPr>
    </w:p>
    <w:p>
      <w:pPr>
        <w:keepNext w:val="0"/>
        <w:keepLines w:val="0"/>
        <w:pageBreakBefore w:val="0"/>
        <w:widowControl w:val="0"/>
        <w:kinsoku/>
        <w:overflowPunct/>
        <w:topLinePunct w:val="0"/>
        <w:autoSpaceDE/>
        <w:autoSpaceDN/>
        <w:bidi w:val="0"/>
        <w:spacing w:line="596" w:lineRule="exact"/>
        <w:ind w:left="0" w:leftChars="0" w:firstLine="0" w:firstLineChars="0"/>
        <w:textAlignment w:val="auto"/>
        <w:rPr>
          <w:rFonts w:hint="eastAsia" w:ascii="仿宋_GB2312" w:hAnsi="仿宋_GB2312" w:cs="仿宋_GB2312"/>
          <w:color w:val="000000"/>
          <w:szCs w:val="32"/>
          <w:lang w:val="en-US" w:eastAsia="zh-CN"/>
        </w:rPr>
      </w:pPr>
      <w:r>
        <w:rPr>
          <w:rFonts w:hint="eastAsia" w:ascii="仿宋_GB2312" w:hAnsi="仿宋_GB2312" w:cs="仿宋_GB2312"/>
          <w:color w:val="000000"/>
          <w:szCs w:val="32"/>
          <w:lang w:val="en-US" w:eastAsia="zh-CN"/>
        </w:rPr>
        <w:t>内蒙古伊东集团沙咀子煤炭有限责任公司：</w:t>
      </w:r>
    </w:p>
    <w:p>
      <w:pPr>
        <w:spacing w:beforeAutospacing="0" w:afterAutospacing="0" w:line="578" w:lineRule="exact"/>
        <w:jc w:val="both"/>
        <w:rPr>
          <w:rFonts w:hint="eastAsia" w:ascii="仿宋_GB2312" w:hAnsi="仿宋_GB2312" w:eastAsia="仿宋_GB2312" w:cs="仿宋_GB2312"/>
          <w:color w:val="000000"/>
          <w:szCs w:val="32"/>
          <w:lang w:val="en-US" w:eastAsia="zh-CN"/>
        </w:rPr>
      </w:pPr>
      <w:r>
        <w:rPr>
          <w:rFonts w:hint="eastAsia" w:ascii="仿宋_GB2312" w:hAnsi="仿宋_GB2312" w:eastAsia="仿宋_GB2312" w:cs="仿宋_GB2312"/>
          <w:color w:val="000000"/>
          <w:szCs w:val="32"/>
          <w:lang w:val="en-US" w:eastAsia="zh-CN"/>
        </w:rPr>
        <w:t>你公司报送的由鄂尔多斯市浩宇科技有限责任公司编制的《内蒙古伊东</w:t>
      </w:r>
      <w:r>
        <w:rPr>
          <w:rFonts w:hint="eastAsia" w:ascii="仿宋_GB2312" w:hAnsi="仿宋_GB2312" w:cs="仿宋_GB2312"/>
          <w:color w:val="000000"/>
          <w:szCs w:val="32"/>
          <w:lang w:val="en-US" w:eastAsia="zh-CN"/>
        </w:rPr>
        <w:t>煤炭</w:t>
      </w:r>
      <w:r>
        <w:rPr>
          <w:rFonts w:hint="eastAsia" w:ascii="仿宋_GB2312" w:hAnsi="仿宋_GB2312" w:eastAsia="仿宋_GB2312" w:cs="仿宋_GB2312"/>
          <w:color w:val="000000"/>
          <w:szCs w:val="32"/>
          <w:lang w:val="en-US" w:eastAsia="zh-CN"/>
        </w:rPr>
        <w:t>集团有限责任公司沙咀子</w:t>
      </w:r>
      <w:r>
        <w:rPr>
          <w:rFonts w:hint="eastAsia" w:ascii="仿宋_GB2312" w:hAnsi="仿宋_GB2312" w:cs="仿宋_GB2312"/>
          <w:color w:val="000000"/>
          <w:szCs w:val="32"/>
          <w:lang w:val="en-US" w:eastAsia="zh-CN"/>
        </w:rPr>
        <w:t>煤</w:t>
      </w:r>
      <w:r>
        <w:rPr>
          <w:rFonts w:hint="eastAsia" w:ascii="仿宋_GB2312" w:hAnsi="仿宋_GB2312" w:eastAsia="仿宋_GB2312" w:cs="仿宋_GB2312"/>
          <w:color w:val="000000"/>
          <w:szCs w:val="32"/>
          <w:lang w:val="en-US" w:eastAsia="zh-CN"/>
        </w:rPr>
        <w:t>矿采空区灾害综合治理工程变更项目环境影响报告表》（以下简称《报告表》）已收悉。经研究，现批复如下：</w:t>
      </w:r>
    </w:p>
    <w:p>
      <w:pPr>
        <w:keepNext w:val="0"/>
        <w:keepLines w:val="0"/>
        <w:pageBreakBefore w:val="0"/>
        <w:widowControl w:val="0"/>
        <w:kinsoku/>
        <w:overflowPunct/>
        <w:topLinePunct w:val="0"/>
        <w:autoSpaceDE/>
        <w:autoSpaceDN/>
        <w:bidi w:val="0"/>
        <w:spacing w:line="596" w:lineRule="exact"/>
        <w:ind w:left="0" w:leftChars="0" w:firstLine="640" w:firstLineChars="200"/>
        <w:textAlignment w:val="auto"/>
        <w:rPr>
          <w:rFonts w:hint="eastAsia" w:ascii="仿宋_GB2312" w:hAnsi="仿宋_GB2312" w:cs="仿宋_GB2312"/>
          <w:color w:val="000000"/>
          <w:szCs w:val="32"/>
          <w:highlight w:val="none"/>
          <w:lang w:val="en-US" w:eastAsia="zh-CN"/>
        </w:rPr>
      </w:pPr>
      <w:r>
        <w:rPr>
          <w:rFonts w:hint="eastAsia" w:ascii="仿宋_GB2312" w:hAnsi="仿宋_GB2312" w:eastAsia="仿宋_GB2312" w:cs="仿宋_GB2312"/>
          <w:color w:val="000000"/>
          <w:szCs w:val="32"/>
          <w:lang w:val="en-US" w:eastAsia="zh-CN"/>
        </w:rPr>
        <w:t>一、</w:t>
      </w:r>
      <w:r>
        <w:rPr>
          <w:rFonts w:hint="eastAsia" w:ascii="仿宋_GB2312" w:hAnsi="仿宋_GB2312" w:cs="仿宋_GB2312"/>
          <w:color w:val="000000"/>
          <w:szCs w:val="32"/>
          <w:lang w:val="en-US" w:eastAsia="zh-CN"/>
        </w:rPr>
        <w:t>该</w:t>
      </w:r>
      <w:r>
        <w:rPr>
          <w:rFonts w:hint="eastAsia" w:ascii="仿宋_GB2312" w:hAnsi="仿宋_GB2312" w:cs="仿宋_GB2312"/>
          <w:color w:val="000000"/>
          <w:szCs w:val="32"/>
          <w:highlight w:val="none"/>
          <w:lang w:val="en-US" w:eastAsia="zh-CN"/>
        </w:rPr>
        <w:t>项目位于</w:t>
      </w:r>
      <w:r>
        <w:rPr>
          <w:rFonts w:hint="default" w:ascii="仿宋_GB2312" w:hAnsi="仿宋_GB2312" w:cs="仿宋_GB2312"/>
          <w:color w:val="000000"/>
          <w:szCs w:val="32"/>
          <w:highlight w:val="none"/>
          <w:lang w:val="en-US" w:eastAsia="zh-CN"/>
        </w:rPr>
        <w:t>鄂尔多斯市准格尔旗薛家湾镇</w:t>
      </w:r>
      <w:r>
        <w:rPr>
          <w:rFonts w:hint="eastAsia" w:ascii="仿宋_GB2312" w:hAnsi="仿宋_GB2312" w:cs="仿宋_GB2312"/>
          <w:color w:val="000000"/>
          <w:szCs w:val="32"/>
          <w:highlight w:val="none"/>
          <w:lang w:val="en-US" w:eastAsia="zh-CN"/>
        </w:rPr>
        <w:t>，</w:t>
      </w:r>
      <w:r>
        <w:rPr>
          <w:rFonts w:hint="default" w:ascii="仿宋_GB2312" w:hAnsi="仿宋_GB2312" w:cs="仿宋_GB2312"/>
          <w:color w:val="000000"/>
          <w:szCs w:val="32"/>
          <w:highlight w:val="none"/>
          <w:lang w:val="en-US" w:eastAsia="zh-CN"/>
        </w:rPr>
        <w:t>沙咀子煤矿</w:t>
      </w:r>
      <w:r>
        <w:rPr>
          <w:rFonts w:hint="eastAsia" w:ascii="仿宋_GB2312" w:hAnsi="仿宋_GB2312" w:cs="仿宋_GB2312"/>
          <w:color w:val="000000"/>
          <w:szCs w:val="32"/>
          <w:highlight w:val="none"/>
          <w:lang w:val="en-US" w:eastAsia="zh-CN"/>
        </w:rPr>
        <w:t>井田范围内，2014年2月取得原内蒙古自治区环境保护厅关于《内蒙古伊东煤炭集团有限责任公司沙咀子煤矿采空区灾害综合治理工程环境影响报告书的批复》（内环审字〔2014〕42号），2020年1月取得内蒙古自治区生态环境厅关于《内蒙古伊东煤炭集团有限责任公司沙咀子煤矿采空区灾害综合治理工程环境影响报告书重新审核的意见》（内环审字〔2020〕3号）。由于设计的变更，治理区由原来的2个治理区变为1个治理区</w:t>
      </w:r>
      <w:r>
        <w:rPr>
          <w:rFonts w:hint="default" w:ascii="仿宋_GB2312" w:hAnsi="仿宋_GB2312" w:cs="仿宋_GB2312"/>
          <w:color w:val="000000"/>
          <w:szCs w:val="32"/>
          <w:highlight w:val="none"/>
          <w:lang w:val="en-US" w:eastAsia="zh-CN"/>
        </w:rPr>
        <w:t>，</w:t>
      </w:r>
      <w:r>
        <w:rPr>
          <w:rFonts w:hint="eastAsia" w:ascii="仿宋_GB2312" w:hAnsi="仿宋_GB2312" w:cs="仿宋_GB2312"/>
          <w:color w:val="000000"/>
          <w:szCs w:val="32"/>
          <w:highlight w:val="none"/>
          <w:lang w:val="en-US" w:eastAsia="zh-CN"/>
        </w:rPr>
        <w:t>治理面积由5.27平方千米，变更为2.94平方千米，该</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优化初步设计于2022年3月8日</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并</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取得了《鄂尔多斯市人民政府关于同意内蒙古伊东煤炭有限责任公司沙咀子煤矿采空区灾害综合治理工程优化设计方案的批复》</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鄂府发〔2022〕20号</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default" w:ascii="仿宋_GB2312" w:hAnsi="仿宋_GB2312" w:cs="仿宋_GB2312"/>
          <w:color w:val="000000"/>
          <w:szCs w:val="32"/>
          <w:highlight w:val="none"/>
          <w:lang w:val="en-US" w:eastAsia="zh-CN"/>
        </w:rPr>
        <w:t>开采工艺为单斗—汽车工艺</w:t>
      </w:r>
      <w:r>
        <w:rPr>
          <w:rFonts w:hint="eastAsia" w:ascii="仿宋_GB2312" w:hAnsi="仿宋_GB2312" w:cs="仿宋_GB2312"/>
          <w:color w:val="000000"/>
          <w:szCs w:val="32"/>
          <w:highlight w:val="none"/>
          <w:lang w:val="en-US" w:eastAsia="zh-CN"/>
        </w:rPr>
        <w:t>，项目总投资为499332.66万元，其中环保投资为3647.9万元。</w:t>
      </w:r>
    </w:p>
    <w:p>
      <w:pPr>
        <w:keepNext w:val="0"/>
        <w:keepLines w:val="0"/>
        <w:pageBreakBefore w:val="0"/>
        <w:widowControl w:val="0"/>
        <w:kinsoku/>
        <w:overflowPunct/>
        <w:topLinePunct w:val="0"/>
        <w:autoSpaceDE/>
        <w:autoSpaceDN/>
        <w:bidi w:val="0"/>
        <w:spacing w:line="596" w:lineRule="exact"/>
        <w:ind w:left="0" w:leftChars="0" w:firstLine="640" w:firstLineChars="200"/>
        <w:textAlignment w:val="auto"/>
        <w:rPr>
          <w:rFonts w:hint="eastAsia" w:ascii="仿宋_GB2312" w:hAnsi="仿宋_GB2312" w:eastAsia="仿宋_GB2312" w:cs="仿宋_GB2312"/>
          <w:color w:val="000000"/>
          <w:szCs w:val="32"/>
          <w:lang w:val="en-US" w:eastAsia="zh-CN"/>
        </w:rPr>
      </w:pPr>
      <w:r>
        <w:rPr>
          <w:rFonts w:hint="eastAsia" w:ascii="仿宋_GB2312" w:hAnsi="仿宋_GB2312" w:eastAsia="仿宋_GB2312" w:cs="仿宋_GB2312"/>
          <w:kern w:val="2"/>
          <w:sz w:val="32"/>
          <w:szCs w:val="32"/>
          <w:highlight w:val="none"/>
          <w:lang w:val="en-US" w:eastAsia="zh-CN" w:bidi="ar-SA"/>
        </w:rPr>
        <w:t>该项目属于内蒙古自治区煤炭工业局批复的《关于鄂尔多斯市煤矿采空区灾害综合治理总体规划》（内煤局字﹝2014﹞363号）中确定的治理区。</w:t>
      </w:r>
      <w:r>
        <w:rPr>
          <w:rFonts w:hint="eastAsia" w:ascii="仿宋_GB2312" w:hAnsi="仿宋_GB2312" w:eastAsia="仿宋_GB2312" w:cs="仿宋_GB2312"/>
          <w:color w:val="000000"/>
          <w:szCs w:val="32"/>
          <w:highlight w:val="none"/>
          <w:lang w:val="en-US" w:eastAsia="zh-CN"/>
        </w:rPr>
        <w:t>《报告表》认为，在全面落实各项生态环境保护和环境污染防治措施的前提下，项目建设对环境的不利影响能够得到一定的缓解和控制。因此，我局</w:t>
      </w:r>
      <w:r>
        <w:rPr>
          <w:rFonts w:hint="eastAsia" w:ascii="仿宋_GB2312" w:hAnsi="仿宋_GB2312" w:eastAsia="仿宋_GB2312" w:cs="仿宋_GB2312"/>
          <w:color w:val="000000"/>
          <w:szCs w:val="32"/>
          <w:lang w:val="en-US" w:eastAsia="zh-CN"/>
        </w:rPr>
        <w:t>原则同意你公司按照《报告表》中所列的建设项目性质、规模、地点、环境保护措施进行建设。</w:t>
      </w:r>
    </w:p>
    <w:p>
      <w:pPr>
        <w:keepNext w:val="0"/>
        <w:keepLines w:val="0"/>
        <w:pageBreakBefore w:val="0"/>
        <w:widowControl w:val="0"/>
        <w:kinsoku/>
        <w:overflowPunct/>
        <w:topLinePunct w:val="0"/>
        <w:autoSpaceDE/>
        <w:autoSpaceDN/>
        <w:bidi w:val="0"/>
        <w:spacing w:line="596" w:lineRule="exact"/>
        <w:ind w:left="0" w:leftChars="0" w:firstLine="0" w:firstLineChars="0"/>
        <w:textAlignment w:val="auto"/>
        <w:rPr>
          <w:rFonts w:hint="eastAsia" w:ascii="仿宋_GB2312" w:hAnsi="仿宋_GB2312" w:eastAsia="仿宋_GB2312" w:cs="仿宋_GB2312"/>
          <w:color w:val="000000"/>
          <w:szCs w:val="32"/>
          <w:lang w:val="en-US" w:eastAsia="zh-CN"/>
        </w:rPr>
      </w:pPr>
      <w:r>
        <w:rPr>
          <w:rFonts w:hint="eastAsia" w:ascii="仿宋_GB2312" w:hAnsi="仿宋_GB2312" w:eastAsia="仿宋_GB2312" w:cs="仿宋_GB2312"/>
          <w:color w:val="000000"/>
          <w:szCs w:val="32"/>
          <w:lang w:val="en-US" w:eastAsia="zh-CN"/>
        </w:rPr>
        <w:t xml:space="preserve">    二、项目建设与运行管理中应重点做好的工作</w:t>
      </w:r>
      <w:r>
        <w:rPr>
          <w:rFonts w:hint="eastAsia" w:ascii="仿宋_GB2312" w:hAnsi="仿宋_GB2312" w:cs="仿宋_GB2312"/>
          <w:color w:val="000000"/>
          <w:szCs w:val="32"/>
          <w:lang w:val="en-US" w:eastAsia="zh-CN"/>
        </w:rPr>
        <w:t>：</w:t>
      </w:r>
    </w:p>
    <w:p>
      <w:pPr>
        <w:spacing w:before="4" w:line="357" w:lineRule="auto"/>
        <w:ind w:left="38" w:right="13" w:firstLine="543"/>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楷体" w:hAnsi="楷体" w:eastAsia="楷体" w:cs="楷体"/>
          <w:b w:val="0"/>
          <w:bCs w:val="0"/>
          <w:color w:val="auto"/>
          <w:kern w:val="2"/>
          <w:sz w:val="28"/>
          <w:szCs w:val="28"/>
          <w:lang w:val="en-US" w:eastAsia="zh-CN" w:bidi="ar-SA"/>
        </w:rPr>
        <w:t>（一）</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认</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真</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落实</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仿宋_GB2312" w:hAnsi="仿宋_GB2312" w:eastAsia="仿宋_GB2312" w:cs="仿宋_GB2312"/>
          <w:color w:val="000000"/>
          <w:szCs w:val="32"/>
          <w:lang w:val="en-US" w:eastAsia="zh-CN"/>
        </w:rPr>
        <w:t>报告表</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》提出的</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大气污染防治措施</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仿宋_GB2312" w:hAnsi="仿宋_GB2312" w:eastAsia="仿宋_GB2312" w:cs="仿宋_GB2312"/>
          <w:kern w:val="2"/>
          <w:sz w:val="32"/>
          <w:szCs w:val="32"/>
          <w:lang w:val="en-US" w:eastAsia="zh-CN" w:bidi="ar-SA"/>
        </w:rPr>
        <w:t>做好施工期和运营期扬尘污染防治。加强治理区洒水降尘措施，对排土场采取分层碾压、定期洒水等抑尘措施。</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厂界粉尘排放浓度须满足《煤炭工业污染物排放标准》（GB20426-2006）中标准限值要求。</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本项目热源</w:t>
      </w:r>
      <w:r>
        <w:rPr>
          <w:rFonts w:hint="default"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依托沙咀子煤矿现有</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1台6t/h的蒸汽锅</w:t>
      </w:r>
      <w:r>
        <w:rPr>
          <w:rFonts w:hint="eastAsia" w:ascii="仿宋_GB2312" w:hAnsi="仿宋_GB2312" w:eastAsia="仿宋_GB2312" w:cs="仿宋_GB2312"/>
          <w:color w:val="000000"/>
          <w:spacing w:val="0"/>
          <w:kern w:val="0"/>
          <w:sz w:val="32"/>
          <w:szCs w:val="32"/>
          <w:highlight w:val="none"/>
          <w:lang w:val="en-US" w:eastAsia="zh-CN"/>
        </w:rPr>
        <w:t>炉和</w:t>
      </w:r>
      <w:r>
        <w:rPr>
          <w:rFonts w:hint="eastAsia" w:ascii="仿宋_GB2312" w:hAnsi="仿宋_GB2312" w:cs="仿宋_GB2312"/>
          <w:color w:val="000000"/>
          <w:spacing w:val="0"/>
          <w:kern w:val="0"/>
          <w:sz w:val="32"/>
          <w:szCs w:val="32"/>
          <w:highlight w:val="none"/>
          <w:lang w:val="en-US" w:eastAsia="zh-CN"/>
        </w:rPr>
        <w:t>1</w:t>
      </w:r>
      <w:r>
        <w:rPr>
          <w:rFonts w:hint="eastAsia" w:ascii="仿宋_GB2312" w:hAnsi="仿宋_GB2312" w:eastAsia="仿宋_GB2312" w:cs="仿宋_GB2312"/>
          <w:color w:val="000000"/>
          <w:spacing w:val="0"/>
          <w:kern w:val="0"/>
          <w:sz w:val="32"/>
          <w:szCs w:val="32"/>
          <w:highlight w:val="none"/>
          <w:lang w:val="en-US" w:eastAsia="zh-CN"/>
        </w:rPr>
        <w:t>台</w:t>
      </w:r>
      <w:r>
        <w:rPr>
          <w:rFonts w:hint="eastAsia" w:ascii="仿宋_GB2312" w:hAnsi="仿宋_GB2312" w:cs="仿宋_GB2312"/>
          <w:color w:val="000000"/>
          <w:spacing w:val="0"/>
          <w:kern w:val="0"/>
          <w:sz w:val="32"/>
          <w:szCs w:val="32"/>
          <w:highlight w:val="none"/>
          <w:lang w:val="en-US" w:eastAsia="zh-CN"/>
        </w:rPr>
        <w:t>2.8MW的热水</w:t>
      </w:r>
      <w:r>
        <w:rPr>
          <w:rFonts w:hint="eastAsia" w:ascii="仿宋_GB2312" w:hAnsi="仿宋_GB2312" w:eastAsia="仿宋_GB2312" w:cs="仿宋_GB2312"/>
          <w:color w:val="000000"/>
          <w:spacing w:val="0"/>
          <w:kern w:val="0"/>
          <w:sz w:val="32"/>
          <w:szCs w:val="32"/>
          <w:highlight w:val="none"/>
          <w:lang w:val="en-US" w:eastAsia="zh-CN"/>
        </w:rPr>
        <w:t>锅炉</w:t>
      </w:r>
      <w:r>
        <w:rPr>
          <w:rFonts w:hint="eastAsia" w:ascii="仿宋_GB2312" w:hAnsi="仿宋_GB2312" w:cs="仿宋_GB2312"/>
          <w:color w:val="000000"/>
          <w:spacing w:val="0"/>
          <w:kern w:val="0"/>
          <w:sz w:val="32"/>
          <w:szCs w:val="32"/>
          <w:highlight w:val="none"/>
          <w:lang w:val="en-US" w:eastAsia="zh-CN"/>
        </w:rPr>
        <w:t>进行供暖</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仿宋_GB2312" w:hAnsi="仿宋_GB2312" w:eastAsia="仿宋_GB2312" w:cs="仿宋_GB2312"/>
          <w:color w:val="000000"/>
          <w:spacing w:val="0"/>
          <w:kern w:val="0"/>
          <w:sz w:val="32"/>
          <w:szCs w:val="32"/>
          <w:highlight w:val="none"/>
          <w:lang w:val="en-US" w:eastAsia="zh-CN"/>
        </w:rPr>
        <w:t>在采掘场、排土场等区域设置高清粉尘（扬尘）监视视频探头，并与生态环境部门联网。</w:t>
      </w:r>
    </w:p>
    <w:p>
      <w:pPr>
        <w:pStyle w:val="2"/>
        <w:rPr>
          <w:rFonts w:hint="eastAsia"/>
          <w:highlight w:val="none"/>
          <w:lang w:val="en-US" w:eastAsia="zh-CN"/>
        </w:rPr>
      </w:pPr>
      <w:r>
        <w:rPr>
          <w:rFonts w:hint="eastAsia" w:ascii="仿宋_GB2312" w:hAnsi="仿宋_GB2312" w:cs="仿宋_GB2312"/>
          <w:color w:val="auto"/>
          <w:kern w:val="2"/>
          <w:sz w:val="32"/>
          <w:szCs w:val="32"/>
          <w:highlight w:val="none"/>
          <w:lang w:val="en-US" w:eastAsia="zh-CN" w:bidi="ar-SA"/>
        </w:rPr>
        <w:t>（二）</w:t>
      </w:r>
      <w:r>
        <w:rPr>
          <w:rFonts w:hint="eastAsia" w:ascii="仿宋_GB2312" w:hAnsi="仿宋_GB2312" w:eastAsia="仿宋_GB2312" w:cs="仿宋_GB2312"/>
          <w:color w:val="auto"/>
          <w:kern w:val="2"/>
          <w:sz w:val="32"/>
          <w:szCs w:val="32"/>
          <w:highlight w:val="none"/>
          <w:lang w:val="en-US" w:eastAsia="zh-CN" w:bidi="ar-SA"/>
        </w:rPr>
        <w:t>生态保护措施。按照法律法规和主管部门要求，坚持因地制宜的原则，做好生态保护及生态恢复工作，保障区域生态功能不退化。加强治理期及管护期生态环境保护保护工作，做好采掘场、排土场、表土堆场、工业场地及道路等区域生态环境保护措施的落实，建立生态监测系统，加强生态影响长期跟踪监测，根据监测结果，采取优化措施减缓不利生态影响。</w:t>
      </w:r>
    </w:p>
    <w:p>
      <w:pPr>
        <w:autoSpaceDE w:val="0"/>
        <w:autoSpaceDN w:val="0"/>
        <w:spacing w:line="360" w:lineRule="auto"/>
        <w:ind w:firstLine="640" w:firstLineChars="200"/>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三</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严格落实各项地表</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水污染防治措施</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仿宋_GB2312" w:hAnsi="仿宋_GB2312" w:eastAsia="仿宋_GB2312" w:cs="仿宋_GB2312"/>
          <w:color w:val="000000"/>
          <w:kern w:val="0"/>
          <w:sz w:val="32"/>
          <w:szCs w:val="32"/>
          <w:highlight w:val="none"/>
        </w:rPr>
        <w:t>实行雨污分流、清污分流</w:t>
      </w:r>
      <w:r>
        <w:rPr>
          <w:rFonts w:hint="eastAsia" w:ascii="仿宋_GB2312" w:hAnsi="仿宋_GB2312" w:cs="仿宋_GB2312"/>
          <w:color w:val="000000"/>
          <w:kern w:val="0"/>
          <w:sz w:val="32"/>
          <w:szCs w:val="32"/>
          <w:highlight w:val="none"/>
          <w:lang w:eastAsia="zh-CN"/>
        </w:rPr>
        <w:t>。</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新建一套处理规模为120</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m³</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/d</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的</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地埋式污水处理设备</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，生活污水处理后满足</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《城市污水再生利用城市杂用水水质</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（GB/T18920-2020</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）要求，用于</w:t>
      </w:r>
      <w:r>
        <w:rPr>
          <w:rFonts w:hint="default" w:ascii="仿宋_GB2312" w:hAnsi="仿宋_GB2312" w:eastAsia="仿宋_GB2312" w:cs="仿宋_GB2312"/>
          <w:i w:val="0"/>
          <w:caps w:val="0"/>
          <w:color w:val="000000" w:themeColor="text1"/>
          <w:spacing w:val="0"/>
          <w:kern w:val="0"/>
          <w:sz w:val="32"/>
          <w:szCs w:val="32"/>
          <w:highlight w:val="none"/>
          <w:shd w:val="clear" w:fill="FFFFFF"/>
          <w:lang w:val="zh-CN" w:eastAsia="zh-CN" w:bidi="ar"/>
          <w14:textFill>
            <w14:solidFill>
              <w14:schemeClr w14:val="tx1"/>
            </w14:solidFill>
          </w14:textFill>
        </w:rPr>
        <w:t>道路洒水、绿化用水</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。采剥</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坑内排水采用移动储水池进行沉淀、混凝、消毒处理，出水</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须</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满足《煤炭工业污染物排放标准》（GB20426-2006）</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中标准</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限值</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要求，出水</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全部回</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用</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，采剥坑水不外排</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对移动式泥浆循环沉淀罐罐底进行防渗</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处理</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，采取聚乙烯防渗膜，膜随车走，渗透系数≤10</w:t>
      </w:r>
      <w:r>
        <w:rPr>
          <w:rFonts w:hint="default" w:ascii="仿宋_GB2312" w:hAnsi="仿宋_GB2312" w:eastAsia="仿宋_GB2312" w:cs="仿宋_GB2312"/>
          <w:i w:val="0"/>
          <w:caps w:val="0"/>
          <w:color w:val="000000" w:themeColor="text1"/>
          <w:spacing w:val="0"/>
          <w:kern w:val="0"/>
          <w:sz w:val="32"/>
          <w:szCs w:val="32"/>
          <w:highlight w:val="none"/>
          <w:shd w:val="clear" w:fill="FFFFFF"/>
          <w:vertAlign w:val="superscript"/>
          <w:lang w:val="en-US" w:eastAsia="zh-CN" w:bidi="ar"/>
          <w14:textFill>
            <w14:solidFill>
              <w14:schemeClr w14:val="tx1"/>
            </w14:solidFill>
          </w14:textFill>
        </w:rPr>
        <w:t>-7</w:t>
      </w:r>
      <w:r>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cm/s。</w:t>
      </w:r>
    </w:p>
    <w:p>
      <w:pPr>
        <w:keepNext w:val="0"/>
        <w:keepLines w:val="0"/>
        <w:pageBreakBefore w:val="0"/>
        <w:widowControl w:val="0"/>
        <w:kinsoku/>
        <w:wordWrap/>
        <w:overflowPunct/>
        <w:topLinePunct w:val="0"/>
        <w:autoSpaceDE/>
        <w:autoSpaceDN w:val="0"/>
        <w:bidi w:val="0"/>
        <w:spacing w:before="0" w:beforeLines="0" w:beforeAutospacing="0" w:after="0" w:afterLines="0" w:afterAutospacing="0" w:line="600" w:lineRule="exact"/>
        <w:ind w:left="0" w:leftChars="0" w:right="0" w:rightChars="0" w:firstLine="640" w:firstLineChars="200"/>
        <w:textAlignment w:val="auto"/>
        <w:outlineLvl w:val="9"/>
        <w:rPr>
          <w:rFonts w:hint="default"/>
          <w:color w:val="0000FF"/>
          <w:lang w:val="en-US" w:eastAsia="zh-CN"/>
        </w:rPr>
      </w:pP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四</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严格落实</w:t>
      </w:r>
      <w:r>
        <w:rPr>
          <w:rFonts w:hint="eastAsia" w:ascii="仿宋_GB2312" w:hAnsi="仿宋_GB2312" w:eastAsia="仿宋_GB2312" w:cs="仿宋_GB2312"/>
          <w:kern w:val="2"/>
          <w:sz w:val="32"/>
          <w:szCs w:val="32"/>
          <w:lang w:val="en-US" w:eastAsia="zh-CN" w:bidi="ar-SA"/>
        </w:rPr>
        <w:t>地下水</w:t>
      </w:r>
      <w:r>
        <w:rPr>
          <w:rFonts w:hint="eastAsia" w:ascii="仿宋_GB2312" w:hAnsi="仿宋_GB2312" w:cs="仿宋_GB2312"/>
          <w:kern w:val="2"/>
          <w:sz w:val="32"/>
          <w:szCs w:val="32"/>
          <w:lang w:val="en-US" w:eastAsia="zh-CN" w:bidi="ar-SA"/>
        </w:rPr>
        <w:t>及土壤</w:t>
      </w:r>
      <w:r>
        <w:rPr>
          <w:rFonts w:hint="eastAsia" w:ascii="仿宋_GB2312" w:hAnsi="仿宋_GB2312" w:eastAsia="仿宋_GB2312" w:cs="仿宋_GB2312"/>
          <w:kern w:val="2"/>
          <w:sz w:val="32"/>
          <w:szCs w:val="32"/>
          <w:lang w:val="en-US" w:eastAsia="zh-CN" w:bidi="ar-SA"/>
        </w:rPr>
        <w:t>环境保护措施</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施工期和运营期应严格遵循“源头控制、分区防控、污染监控、应急响应”的原则，制定地下水保护和应急方案。实施分区防渗，对生活污水处理站、矿坑水处理站、危废暂存间等区域实施重点防渗</w:t>
      </w:r>
      <w:r>
        <w:rPr>
          <w:rFonts w:hint="eastAsia" w:ascii="仿宋_GB2312" w:hAnsi="仿宋_GB2312" w:cs="仿宋_GB2312"/>
          <w:kern w:val="2"/>
          <w:sz w:val="32"/>
          <w:szCs w:val="32"/>
          <w:lang w:val="en-US" w:eastAsia="zh-CN" w:bidi="ar-SA"/>
        </w:rPr>
        <w:t>；确保</w:t>
      </w:r>
      <w:r>
        <w:rPr>
          <w:rFonts w:hint="eastAsia" w:ascii="仿宋_GB2312" w:hAnsi="仿宋_GB2312" w:cs="仿宋_GB2312"/>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土地复垦后</w:t>
      </w:r>
      <w:r>
        <w:rPr>
          <w:rFonts w:hint="eastAsia" w:ascii="仿宋_GB2312" w:hAnsi="仿宋_GB2312" w:eastAsia="仿宋_GB2312" w:cs="仿宋_GB2312"/>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地表植被覆盖率不减少；</w:t>
      </w:r>
      <w:r>
        <w:rPr>
          <w:rFonts w:hint="eastAsia" w:ascii="仿宋_GB2312" w:hAnsi="仿宋_GB2312" w:eastAsia="仿宋_GB2312" w:cs="仿宋_GB2312"/>
          <w:kern w:val="2"/>
          <w:sz w:val="32"/>
          <w:szCs w:val="32"/>
          <w:lang w:val="en-US" w:eastAsia="zh-CN" w:bidi="ar-SA"/>
        </w:rPr>
        <w:t>外排土场在雨季前应在排土场坡脚迎水方向设置临时挡水堤。</w:t>
      </w:r>
    </w:p>
    <w:p>
      <w:pPr>
        <w:keepNext w:val="0"/>
        <w:keepLines w:val="0"/>
        <w:pageBreakBefore w:val="0"/>
        <w:widowControl w:val="0"/>
        <w:kinsoku/>
        <w:wordWrap/>
        <w:overflowPunct/>
        <w:topLinePunct w:val="0"/>
        <w:autoSpaceDE/>
        <w:autoSpaceDN w:val="0"/>
        <w:bidi w:val="0"/>
        <w:spacing w:before="0" w:beforeLines="0" w:beforeAutospacing="0" w:after="0" w:afterLines="0" w:afterAutospacing="0" w:line="600" w:lineRule="exact"/>
        <w:ind w:left="0" w:leftChars="0" w:right="0" w:rightChars="0" w:firstLine="640" w:firstLineChars="200"/>
        <w:jc w:val="left"/>
        <w:textAlignment w:val="auto"/>
        <w:outlineLvl w:val="9"/>
        <w:rPr>
          <w:rFonts w:hint="default" w:ascii="仿宋_GB2312" w:hAnsi="仿宋_GB2312" w:eastAsia="仿宋_GB2312" w:cs="仿宋_GB2312"/>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仿宋_GB2312" w:hAnsi="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五</w:t>
      </w: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仿宋_GB2312" w:hAnsi="仿宋_GB2312" w:eastAsia="仿宋_GB2312" w:cs="仿宋_GB2312"/>
          <w:kern w:val="2"/>
          <w:sz w:val="32"/>
          <w:szCs w:val="32"/>
          <w:lang w:val="en-US" w:eastAsia="zh-CN" w:bidi="ar-SA"/>
        </w:rPr>
        <w:t>其他生态环境保护措施</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选用低噪声设备，采取消声、隔声、减振等措施，确保厂界噪声达标排放。加强对危险废物、固体废物暂存设施的环境管理，</w:t>
      </w:r>
      <w:r>
        <w:rPr>
          <w:rFonts w:hint="default" w:ascii="仿宋_GB2312" w:hAnsi="仿宋_GB2312" w:eastAsia="仿宋_GB2312" w:cs="仿宋_GB2312"/>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加强施工机械设备的维修保养，避免施工机械在施工中燃料用油跑、冒</w:t>
      </w:r>
      <w:r>
        <w:rPr>
          <w:rFonts w:hint="eastAsia" w:ascii="仿宋_GB2312" w:hAnsi="仿宋_GB2312" w:eastAsia="仿宋_GB2312" w:cs="仿宋_GB2312"/>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default" w:ascii="仿宋_GB2312" w:hAnsi="仿宋_GB2312" w:eastAsia="仿宋_GB2312" w:cs="仿宋_GB2312"/>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滴、漏现象的发生。</w:t>
      </w:r>
      <w:r>
        <w:rPr>
          <w:rFonts w:hint="eastAsia" w:ascii="仿宋_GB2312" w:hAnsi="仿宋_GB2312" w:cs="仿宋_GB2312"/>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一般工业固废要立足综合利用，</w:t>
      </w:r>
      <w:r>
        <w:rPr>
          <w:rFonts w:hint="eastAsia" w:ascii="仿宋_GB2312" w:hAnsi="仿宋_GB2312" w:eastAsia="仿宋_GB2312" w:cs="仿宋_GB2312"/>
          <w:kern w:val="2"/>
          <w:sz w:val="32"/>
          <w:szCs w:val="32"/>
          <w:lang w:val="en-US" w:eastAsia="zh-CN" w:bidi="ar-SA"/>
        </w:rPr>
        <w:t>危险废物交</w:t>
      </w:r>
      <w:r>
        <w:rPr>
          <w:rFonts w:hint="eastAsia" w:ascii="仿宋_GB2312" w:hAnsi="仿宋_GB2312" w:cs="仿宋_GB2312"/>
          <w:kern w:val="2"/>
          <w:sz w:val="32"/>
          <w:szCs w:val="32"/>
          <w:lang w:val="en-US" w:eastAsia="zh-CN" w:bidi="ar-SA"/>
        </w:rPr>
        <w:t>由</w:t>
      </w:r>
      <w:r>
        <w:rPr>
          <w:rFonts w:hint="eastAsia" w:ascii="仿宋_GB2312" w:hAnsi="仿宋_GB2312" w:eastAsia="仿宋_GB2312" w:cs="仿宋_GB2312"/>
          <w:kern w:val="2"/>
          <w:sz w:val="32"/>
          <w:szCs w:val="32"/>
          <w:lang w:val="en-US" w:eastAsia="zh-CN" w:bidi="ar-SA"/>
        </w:rPr>
        <w:t>有资质</w:t>
      </w:r>
      <w:r>
        <w:rPr>
          <w:rFonts w:hint="eastAsia" w:ascii="仿宋_GB2312" w:hAnsi="仿宋_GB2312" w:cs="仿宋_GB2312"/>
          <w:kern w:val="2"/>
          <w:sz w:val="32"/>
          <w:szCs w:val="32"/>
          <w:lang w:val="en-US" w:eastAsia="zh-CN" w:bidi="ar-SA"/>
        </w:rPr>
        <w:t>的</w:t>
      </w:r>
      <w:r>
        <w:rPr>
          <w:rFonts w:hint="eastAsia" w:ascii="仿宋_GB2312" w:hAnsi="仿宋_GB2312" w:eastAsia="仿宋_GB2312" w:cs="仿宋_GB2312"/>
          <w:kern w:val="2"/>
          <w:sz w:val="32"/>
          <w:szCs w:val="32"/>
          <w:lang w:val="en-US" w:eastAsia="zh-CN" w:bidi="ar-SA"/>
        </w:rPr>
        <w:t>单位</w:t>
      </w:r>
      <w:r>
        <w:rPr>
          <w:rFonts w:hint="eastAsia" w:ascii="仿宋_GB2312" w:hAnsi="仿宋_GB2312" w:cs="仿宋_GB2312"/>
          <w:kern w:val="2"/>
          <w:sz w:val="32"/>
          <w:szCs w:val="32"/>
          <w:lang w:val="en-US" w:eastAsia="zh-CN" w:bidi="ar-SA"/>
        </w:rPr>
        <w:t>处理</w:t>
      </w:r>
      <w:r>
        <w:rPr>
          <w:rFonts w:hint="eastAsia" w:ascii="仿宋_GB2312" w:hAnsi="仿宋_GB2312" w:eastAsia="仿宋_GB2312" w:cs="仿宋_GB2312"/>
          <w:kern w:val="2"/>
          <w:sz w:val="32"/>
          <w:szCs w:val="32"/>
          <w:lang w:val="en-US" w:eastAsia="zh-CN" w:bidi="ar-SA"/>
        </w:rPr>
        <w:t>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96" w:lineRule="exact"/>
        <w:ind w:right="0" w:rightChars="0" w:firstLine="640" w:firstLineChars="200"/>
        <w:jc w:val="left"/>
        <w:textAlignment w:val="auto"/>
        <w:outlineLvl w:val="9"/>
        <w:rPr>
          <w:rFonts w:hint="eastAsia" w:ascii="仿宋_GB2312" w:hAnsi="仿宋_GB2312" w:cs="仿宋_GB2312"/>
          <w:color w:val="000000"/>
          <w:szCs w:val="32"/>
          <w:lang w:val="en-US" w:eastAsia="zh-CN"/>
        </w:rPr>
      </w:pPr>
      <w:r>
        <w:rPr>
          <w:rFonts w:hint="eastAsia" w:ascii="仿宋_GB2312" w:hAnsi="仿宋_GB2312" w:cs="仿宋_GB2312"/>
          <w:color w:val="000000"/>
          <w:szCs w:val="32"/>
          <w:lang w:eastAsia="zh-CN"/>
        </w:rPr>
        <w:t>（</w:t>
      </w:r>
      <w:r>
        <w:rPr>
          <w:rFonts w:hint="eastAsia" w:ascii="仿宋_GB2312" w:hAnsi="仿宋_GB2312" w:cs="仿宋_GB2312"/>
          <w:color w:val="000000"/>
          <w:szCs w:val="32"/>
          <w:lang w:val="en-US" w:eastAsia="zh-CN"/>
        </w:rPr>
        <w:t>六</w:t>
      </w:r>
      <w:r>
        <w:rPr>
          <w:rFonts w:hint="eastAsia" w:ascii="仿宋_GB2312" w:hAnsi="仿宋_GB2312" w:cs="仿宋_GB2312"/>
          <w:color w:val="000000"/>
          <w:szCs w:val="32"/>
          <w:lang w:eastAsia="zh-CN"/>
        </w:rPr>
        <w:t>）</w:t>
      </w:r>
      <w:r>
        <w:rPr>
          <w:rFonts w:hint="eastAsia" w:ascii="仿宋_GB2312" w:hAnsi="仿宋_GB2312" w:eastAsia="仿宋_GB2312" w:cs="仿宋_GB2312"/>
          <w:color w:val="000000"/>
          <w:szCs w:val="32"/>
        </w:rPr>
        <w:t>强化环境风险防范</w:t>
      </w:r>
      <w:r>
        <w:rPr>
          <w:rFonts w:hint="eastAsia" w:ascii="仿宋_GB2312" w:hAnsi="仿宋_GB2312" w:cs="仿宋_GB2312"/>
          <w:color w:val="000000"/>
          <w:szCs w:val="32"/>
          <w:lang w:eastAsia="zh-CN"/>
        </w:rPr>
        <w:t>：</w:t>
      </w:r>
      <w:r>
        <w:rPr>
          <w:rFonts w:hint="eastAsia" w:ascii="仿宋_GB2312" w:hAnsi="仿宋_GB2312" w:eastAsia="仿宋_GB2312" w:cs="仿宋_GB2312"/>
          <w:color w:val="000000"/>
          <w:szCs w:val="32"/>
        </w:rPr>
        <w:t>制定环境风险应急预案，落实环境风险事故防范措施，提高事故风险防范和污染控制能力。</w:t>
      </w:r>
      <w:r>
        <w:rPr>
          <w:rFonts w:hint="eastAsia" w:ascii="仿宋_GB2312" w:hAnsi="仿宋_GB2312" w:cs="仿宋_GB2312"/>
          <w:color w:val="000000"/>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96"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w:t>
      </w:r>
      <w:r>
        <w:rPr>
          <w:rFonts w:hint="eastAsia" w:ascii="仿宋_GB2312" w:hAnsi="仿宋_GB2312" w:eastAsia="仿宋_GB2312" w:cs="仿宋_GB2312"/>
          <w:kern w:val="2"/>
          <w:sz w:val="32"/>
          <w:szCs w:val="32"/>
          <w:lang w:val="en-US" w:eastAsia="zh-CN" w:bidi="ar-SA"/>
        </w:rPr>
        <w:t>你公司应落实生态环境保护主体责任，建立内部生态环境管理体系，明确机构、人员、职责和制度，加强生态环境管理，推进各项生态环境保护措施落实。项目建设必须严格执行环境保护“三同时”制度。应将优化和细化后的各项生态环境保护措施及概算纳入设计以及施工等招标文件及合同，并明确责任。项目竣工后，须按照规定程序实施竣工</w:t>
      </w:r>
      <w:r>
        <w:rPr>
          <w:rFonts w:hint="eastAsia" w:ascii="仿宋_GB2312" w:hAnsi="仿宋_GB2312" w:eastAsia="仿宋_GB2312" w:cs="仿宋_GB2312"/>
          <w:color w:val="auto"/>
          <w:kern w:val="2"/>
          <w:sz w:val="32"/>
          <w:szCs w:val="32"/>
          <w:lang w:val="en-US" w:eastAsia="zh-CN" w:bidi="ar-SA"/>
        </w:rPr>
        <w:t>环境保护验收。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96"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四、该项目从批准之日起超过五年方决定开工建设，其环评文件应重新审核。如果</w:t>
      </w:r>
      <w:r>
        <w:rPr>
          <w:rFonts w:hint="eastAsia" w:ascii="仿宋_GB2312" w:hAnsi="仿宋_GB2312" w:eastAsia="仿宋_GB2312" w:cs="仿宋_GB2312"/>
          <w:color w:val="auto"/>
          <w:kern w:val="2"/>
          <w:sz w:val="32"/>
          <w:szCs w:val="32"/>
          <w:highlight w:val="none"/>
          <w:lang w:val="en-US" w:eastAsia="zh-CN" w:bidi="ar-SA"/>
        </w:rPr>
        <w:t>建设地点、规模、生产工艺、防治污染和防止生态破坏措施等发</w:t>
      </w:r>
      <w:r>
        <w:rPr>
          <w:rFonts w:hint="eastAsia" w:ascii="仿宋_GB2312" w:hAnsi="仿宋_GB2312" w:eastAsia="仿宋_GB2312" w:cs="仿宋_GB2312"/>
          <w:color w:val="auto"/>
          <w:kern w:val="2"/>
          <w:sz w:val="32"/>
          <w:szCs w:val="32"/>
          <w:lang w:val="en-US" w:eastAsia="zh-CN" w:bidi="ar-SA"/>
        </w:rPr>
        <w:t>生重大变化时，需重新报批环评文件。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9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五、项目开工时，应立即通知我局，以便日常监督检查。</w:t>
      </w:r>
    </w:p>
    <w:p>
      <w:pPr>
        <w:keepNext w:val="0"/>
        <w:keepLines w:val="0"/>
        <w:pageBreakBefore w:val="0"/>
        <w:widowControl w:val="0"/>
        <w:kinsoku/>
        <w:overflowPunct/>
        <w:topLinePunct w:val="0"/>
        <w:autoSpaceDE/>
        <w:autoSpaceDN/>
        <w:bidi w:val="0"/>
        <w:spacing w:line="596" w:lineRule="exact"/>
        <w:ind w:firstLine="640"/>
        <w:textAlignment w:val="auto"/>
        <w:rPr>
          <w:rFonts w:hint="eastAsia" w:ascii="仿宋_GB2312" w:hAnsi="仿宋_GB2312" w:eastAsia="仿宋_GB2312" w:cs="仿宋_GB2312"/>
        </w:rPr>
      </w:pP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96" w:lineRule="exact"/>
        <w:ind w:left="0" w:leftChars="0" w:right="0" w:rightChars="0" w:firstLine="0" w:firstLineChars="0"/>
        <w:jc w:val="right"/>
        <w:textAlignment w:val="auto"/>
        <w:outlineLvl w:val="9"/>
        <w:rPr>
          <w:rFonts w:hint="eastAsia" w:ascii="仿宋_GB2312" w:hAnsi="仿宋_GB2312" w:eastAsia="仿宋_GB2312" w:cs="仿宋_GB2312"/>
          <w:color w:val="auto"/>
          <w:spacing w:val="0"/>
          <w:kern w:val="0"/>
          <w:sz w:val="32"/>
          <w:szCs w:val="32"/>
          <w:lang w:eastAsia="zh-CN"/>
        </w:rPr>
      </w:pP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96" w:lineRule="exact"/>
        <w:ind w:left="0" w:leftChars="0" w:right="0" w:rightChars="0" w:firstLine="0" w:firstLineChars="0"/>
        <w:jc w:val="right"/>
        <w:textAlignment w:val="auto"/>
        <w:outlineLvl w:val="9"/>
        <w:rPr>
          <w:rFonts w:hint="eastAsia" w:ascii="仿宋_GB2312" w:hAnsi="仿宋_GB2312" w:eastAsia="仿宋_GB2312" w:cs="仿宋_GB2312"/>
          <w:color w:val="auto"/>
          <w:spacing w:val="0"/>
          <w:kern w:val="0"/>
          <w:sz w:val="32"/>
          <w:szCs w:val="32"/>
          <w:lang w:eastAsia="zh-CN"/>
        </w:rPr>
      </w:pPr>
    </w:p>
    <w:tbl>
      <w:tblPr>
        <w:tblStyle w:val="13"/>
        <w:tblpPr w:leftFromText="180" w:rightFromText="180" w:vertAnchor="text" w:horzAnchor="page" w:tblpX="1531" w:tblpY="45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861" w:type="dxa"/>
            <w:tcBorders>
              <w:top w:val="single" w:color="auto" w:sz="4" w:space="0"/>
              <w:left w:val="nil"/>
              <w:bottom w:val="single" w:color="auto" w:sz="4" w:space="0"/>
              <w:right w:val="nil"/>
            </w:tcBorders>
            <w:noWrap w:val="0"/>
            <w:vAlign w:val="top"/>
          </w:tcPr>
          <w:p>
            <w:pPr>
              <w:keepNext w:val="0"/>
              <w:keepLines w:val="0"/>
              <w:pageBreakBefore w:val="0"/>
              <w:widowControl w:val="0"/>
              <w:tabs>
                <w:tab w:val="left" w:pos="8295"/>
              </w:tabs>
              <w:kinsoku/>
              <w:wordWrap/>
              <w:overflowPunct/>
              <w:topLinePunct w:val="0"/>
              <w:autoSpaceDE/>
              <w:autoSpaceDN/>
              <w:bidi w:val="0"/>
              <w:spacing w:line="600" w:lineRule="exact"/>
              <w:ind w:left="0" w:leftChars="0" w:firstLine="0" w:firstLineChars="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28"/>
                <w:szCs w:val="28"/>
                <w:lang w:eastAsia="zh-CN"/>
              </w:rPr>
              <w:t>抄送：鄂尔多斯市生态环境综合行政执法支队准格尔旗大队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861" w:type="dxa"/>
            <w:tcBorders>
              <w:top w:val="single" w:color="auto" w:sz="4" w:space="0"/>
              <w:left w:val="nil"/>
              <w:bottom w:val="single" w:color="auto" w:sz="4" w:space="0"/>
              <w:right w:val="nil"/>
            </w:tcBorders>
            <w:noWrap w:val="0"/>
            <w:vAlign w:val="top"/>
          </w:tcPr>
          <w:p>
            <w:pPr>
              <w:keepNext w:val="0"/>
              <w:keepLines w:val="0"/>
              <w:pageBreakBefore w:val="0"/>
              <w:widowControl w:val="0"/>
              <w:tabs>
                <w:tab w:val="left" w:pos="8295"/>
              </w:tabs>
              <w:kinsoku/>
              <w:wordWrap/>
              <w:overflowPunct/>
              <w:topLinePunct w:val="0"/>
              <w:autoSpaceDE/>
              <w:autoSpaceDN/>
              <w:bidi w:val="0"/>
              <w:spacing w:line="600" w:lineRule="exact"/>
              <w:ind w:left="0" w:leftChars="0" w:firstLine="0" w:firstLineChars="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鄂尔多斯市生态环境局准格尔旗分局</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w:t>
            </w:r>
            <w:r>
              <w:rPr>
                <w:rFonts w:hint="eastAsia" w:ascii="仿宋_GB2312" w:hAnsi="仿宋_GB2312" w:cs="仿宋_GB2312"/>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仿宋_GB2312" w:hAnsi="仿宋_GB2312" w:cs="仿宋_GB2312"/>
                <w:color w:val="auto"/>
                <w:sz w:val="28"/>
                <w:szCs w:val="28"/>
                <w:lang w:val="en-US" w:eastAsia="zh-CN"/>
              </w:rPr>
              <w:t>5</w:t>
            </w:r>
            <w:r>
              <w:rPr>
                <w:rFonts w:hint="eastAsia" w:ascii="仿宋_GB2312" w:hAnsi="仿宋_GB2312" w:eastAsia="仿宋_GB2312" w:cs="仿宋_GB2312"/>
                <w:color w:val="auto"/>
                <w:sz w:val="28"/>
                <w:szCs w:val="28"/>
              </w:rPr>
              <w:t>月</w:t>
            </w:r>
            <w:r>
              <w:rPr>
                <w:rFonts w:hint="eastAsia" w:ascii="仿宋_GB2312" w:hAnsi="仿宋_GB2312" w:cs="仿宋_GB2312"/>
                <w:color w:val="auto"/>
                <w:sz w:val="28"/>
                <w:szCs w:val="28"/>
                <w:lang w:val="en-US" w:eastAsia="zh-CN"/>
              </w:rPr>
              <w:t>8</w:t>
            </w:r>
            <w:r>
              <w:rPr>
                <w:rFonts w:hint="eastAsia" w:ascii="仿宋_GB2312" w:hAnsi="仿宋_GB2312" w:eastAsia="仿宋_GB2312" w:cs="仿宋_GB2312"/>
                <w:color w:val="auto"/>
                <w:sz w:val="28"/>
                <w:szCs w:val="28"/>
              </w:rPr>
              <w:t>日印发</w:t>
            </w:r>
          </w:p>
        </w:tc>
      </w:tr>
    </w:tbl>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96" w:lineRule="exact"/>
        <w:ind w:left="0" w:leftChars="0" w:right="0" w:rightChars="0" w:firstLine="0" w:firstLineChars="0"/>
        <w:jc w:val="right"/>
        <w:textAlignment w:val="auto"/>
        <w:outlineLvl w:val="9"/>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eastAsia="zh-CN"/>
        </w:rPr>
        <w:t>鄂尔多斯市生态环境局准格尔旗分局</w:t>
      </w:r>
      <w:r>
        <w:rPr>
          <w:rFonts w:hint="eastAsia" w:ascii="仿宋_GB2312" w:hAnsi="仿宋_GB2312" w:eastAsia="仿宋_GB2312" w:cs="仿宋_GB2312"/>
          <w:color w:val="auto"/>
          <w:spacing w:val="0"/>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96" w:lineRule="exact"/>
        <w:ind w:left="0" w:leftChars="0" w:right="0" w:rightChars="0" w:firstLine="0" w:firstLineChars="0"/>
        <w:jc w:val="right"/>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color w:val="auto"/>
          <w:spacing w:val="0"/>
          <w:kern w:val="0"/>
          <w:sz w:val="32"/>
          <w:szCs w:val="32"/>
        </w:rPr>
        <w:t>20</w:t>
      </w:r>
      <w:r>
        <w:rPr>
          <w:rFonts w:hint="eastAsia" w:ascii="仿宋_GB2312" w:hAnsi="仿宋_GB2312" w:eastAsia="仿宋_GB2312" w:cs="仿宋_GB2312"/>
          <w:color w:val="auto"/>
          <w:spacing w:val="0"/>
          <w:kern w:val="0"/>
          <w:sz w:val="32"/>
          <w:szCs w:val="32"/>
          <w:lang w:val="en-US" w:eastAsia="zh-CN"/>
        </w:rPr>
        <w:t>2</w:t>
      </w:r>
      <w:r>
        <w:rPr>
          <w:rFonts w:hint="eastAsia" w:ascii="仿宋_GB2312" w:hAnsi="仿宋_GB2312" w:cs="仿宋_GB2312"/>
          <w:color w:val="auto"/>
          <w:spacing w:val="0"/>
          <w:kern w:val="0"/>
          <w:sz w:val="32"/>
          <w:szCs w:val="32"/>
          <w:lang w:val="en-US" w:eastAsia="zh-CN"/>
        </w:rPr>
        <w:t>3</w:t>
      </w:r>
      <w:r>
        <w:rPr>
          <w:rFonts w:hint="eastAsia" w:ascii="仿宋_GB2312" w:hAnsi="仿宋_GB2312" w:eastAsia="仿宋_GB2312" w:cs="仿宋_GB2312"/>
          <w:color w:val="auto"/>
          <w:spacing w:val="0"/>
          <w:kern w:val="0"/>
          <w:sz w:val="32"/>
          <w:szCs w:val="32"/>
        </w:rPr>
        <w:t>年</w:t>
      </w:r>
      <w:r>
        <w:rPr>
          <w:rFonts w:hint="eastAsia" w:ascii="仿宋_GB2312" w:hAnsi="仿宋_GB2312" w:cs="仿宋_GB2312"/>
          <w:color w:val="auto"/>
          <w:spacing w:val="0"/>
          <w:kern w:val="0"/>
          <w:sz w:val="32"/>
          <w:szCs w:val="32"/>
          <w:lang w:val="en-US" w:eastAsia="zh-CN"/>
        </w:rPr>
        <w:t>5</w:t>
      </w:r>
      <w:r>
        <w:rPr>
          <w:rFonts w:hint="eastAsia" w:ascii="仿宋_GB2312" w:hAnsi="仿宋_GB2312" w:eastAsia="仿宋_GB2312" w:cs="仿宋_GB2312"/>
          <w:color w:val="auto"/>
          <w:spacing w:val="0"/>
          <w:kern w:val="0"/>
          <w:sz w:val="32"/>
          <w:szCs w:val="32"/>
        </w:rPr>
        <w:t>月</w:t>
      </w:r>
      <w:r>
        <w:rPr>
          <w:rFonts w:hint="eastAsia" w:ascii="仿宋_GB2312" w:hAnsi="仿宋_GB2312" w:cs="仿宋_GB2312"/>
          <w:color w:val="auto"/>
          <w:spacing w:val="0"/>
          <w:kern w:val="0"/>
          <w:sz w:val="32"/>
          <w:szCs w:val="32"/>
          <w:lang w:val="en-US" w:eastAsia="zh-CN"/>
        </w:rPr>
        <w:t>8</w:t>
      </w:r>
      <w:r>
        <w:rPr>
          <w:rFonts w:hint="eastAsia" w:ascii="仿宋_GB2312" w:hAnsi="仿宋_GB2312" w:eastAsia="仿宋_GB2312" w:cs="仿宋_GB2312"/>
          <w:color w:val="auto"/>
          <w:spacing w:val="0"/>
          <w:kern w:val="0"/>
          <w:sz w:val="32"/>
          <w:szCs w:val="32"/>
        </w:rPr>
        <w:t>日</w:t>
      </w:r>
      <w:r>
        <w:rPr>
          <w:rFonts w:hint="eastAsia" w:ascii="仿宋_GB2312" w:hAnsi="仿宋_GB2312" w:eastAsia="仿宋_GB2312" w:cs="仿宋_GB2312"/>
          <w:color w:val="auto"/>
          <w:spacing w:val="0"/>
          <w:kern w:val="0"/>
          <w:sz w:val="32"/>
          <w:szCs w:val="32"/>
          <w:lang w:val="en-US" w:eastAsia="zh-CN"/>
        </w:rPr>
        <w:t xml:space="preserve">           </w:t>
      </w:r>
    </w:p>
    <w:p>
      <w:pPr>
        <w:pStyle w:val="15"/>
        <w:ind w:firstLine="0" w:firstLineChars="0"/>
        <w:rPr>
          <w:rFonts w:eastAsia="仿宋" w:cs="Times New Roman"/>
          <w:szCs w:val="32"/>
        </w:rPr>
      </w:pPr>
    </w:p>
    <w:p>
      <w:pPr>
        <w:ind w:left="0" w:leftChars="0" w:firstLine="0" w:firstLineChars="0"/>
      </w:pPr>
    </w:p>
    <w:p>
      <w:pPr>
        <w:pStyle w:val="2"/>
      </w:pPr>
    </w:p>
    <w:p>
      <w:pPr>
        <w:pStyle w:val="3"/>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1588" w:left="1588" w:header="851" w:footer="992" w:gutter="0"/>
      <w:pgNumType w:fmt="decimal"/>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firstLine="560"/>
      <w:jc w:val="right"/>
      <w:rPr>
        <w:rFonts w:hint="eastAsia"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-47625</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5pt;margin-top:0.75pt;height:144pt;width:144pt;mso-position-horizontal-relative:margin;mso-wrap-style:none;z-index:251659264;mso-width-relative:page;mso-height-relative:page;" filled="f" stroked="f" coordsize="21600,21600" o:gfxdata="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Xrcx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9"/>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r>
                      <w:rPr>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firstLine="560"/>
      <w:rPr>
        <w:rFonts w:hint="eastAsia" w:ascii="宋体" w:eastAsia="宋体"/>
        <w:sz w:val="28"/>
        <w:szCs w:val="28"/>
      </w:rPr>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4 -</w:t>
    </w:r>
    <w:r>
      <w:rPr>
        <w:rFonts w:hint="eastAsia" w:asci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4"/>
                              <w:szCs w:val="24"/>
                            </w:rPr>
                          </w:pPr>
                          <w:r>
                            <w:rPr>
                              <w:sz w:val="24"/>
                              <w:szCs w:val="24"/>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sz w:val="24"/>
                        <w:szCs w:val="24"/>
                      </w:rPr>
                    </w:pPr>
                    <w:r>
                      <w:rPr>
                        <w:sz w:val="24"/>
                        <w:szCs w:val="24"/>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clear" w:pos="4153"/>
        <w:tab w:val="clear" w:pos="8306"/>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clear" w:pos="4153"/>
        <w:tab w:val="clear" w:pos="8306"/>
      </w:tabs>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clear" w:pos="4153"/>
        <w:tab w:val="clear" w:pos="8306"/>
      </w:tabs>
      <w:ind w:firstLine="360"/>
    </w:pPr>
  </w:p>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OGM0YzEzYmUyYWZhNWU1Y2IyZTc4NjRmMGY3NmIifQ=="/>
  </w:docVars>
  <w:rsids>
    <w:rsidRoot w:val="00000000"/>
    <w:rsid w:val="01D4677D"/>
    <w:rsid w:val="04BC5FEA"/>
    <w:rsid w:val="074052CE"/>
    <w:rsid w:val="0CF24131"/>
    <w:rsid w:val="10487D34"/>
    <w:rsid w:val="12470362"/>
    <w:rsid w:val="12744071"/>
    <w:rsid w:val="156B5E4E"/>
    <w:rsid w:val="173C1EC1"/>
    <w:rsid w:val="1D5B0A90"/>
    <w:rsid w:val="230563D1"/>
    <w:rsid w:val="29B82726"/>
    <w:rsid w:val="2AA84556"/>
    <w:rsid w:val="2D572253"/>
    <w:rsid w:val="2D5C3385"/>
    <w:rsid w:val="2E9B6C16"/>
    <w:rsid w:val="30AB5992"/>
    <w:rsid w:val="310475AD"/>
    <w:rsid w:val="320576F9"/>
    <w:rsid w:val="35CF73B2"/>
    <w:rsid w:val="365554EB"/>
    <w:rsid w:val="3B2E76C5"/>
    <w:rsid w:val="3B491927"/>
    <w:rsid w:val="3FA15CC7"/>
    <w:rsid w:val="406E4BD8"/>
    <w:rsid w:val="44953938"/>
    <w:rsid w:val="44AD5499"/>
    <w:rsid w:val="47A243B1"/>
    <w:rsid w:val="49452452"/>
    <w:rsid w:val="4D291AFA"/>
    <w:rsid w:val="4D360FDE"/>
    <w:rsid w:val="50213C09"/>
    <w:rsid w:val="507A6E61"/>
    <w:rsid w:val="533A4D87"/>
    <w:rsid w:val="550C5017"/>
    <w:rsid w:val="56F111E9"/>
    <w:rsid w:val="5B5511B7"/>
    <w:rsid w:val="603045BC"/>
    <w:rsid w:val="60731B33"/>
    <w:rsid w:val="608D2F12"/>
    <w:rsid w:val="60BB0D2F"/>
    <w:rsid w:val="63212B0F"/>
    <w:rsid w:val="64066121"/>
    <w:rsid w:val="67841515"/>
    <w:rsid w:val="697A6D53"/>
    <w:rsid w:val="699E7DA2"/>
    <w:rsid w:val="6A0542D6"/>
    <w:rsid w:val="6A812FBB"/>
    <w:rsid w:val="6AB73717"/>
    <w:rsid w:val="70556FE9"/>
    <w:rsid w:val="706B383A"/>
    <w:rsid w:val="708D66C5"/>
    <w:rsid w:val="70DC62C7"/>
    <w:rsid w:val="79155BE7"/>
    <w:rsid w:val="7A1D0DF3"/>
    <w:rsid w:val="7BB120FE"/>
    <w:rsid w:val="7C2F2634"/>
    <w:rsid w:val="7D2B649B"/>
    <w:rsid w:val="7EA30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style>
  <w:style w:type="paragraph" w:styleId="3">
    <w:name w:val="Body Text First Indent 2"/>
    <w:basedOn w:val="4"/>
    <w:next w:val="1"/>
    <w:qFormat/>
    <w:uiPriority w:val="0"/>
    <w:pPr>
      <w:widowControl/>
      <w:ind w:firstLine="420" w:firstLineChars="200"/>
    </w:pPr>
    <w:rPr>
      <w:rFonts w:eastAsia="仿宋_GB2312"/>
    </w:rPr>
  </w:style>
  <w:style w:type="paragraph" w:styleId="4">
    <w:name w:val="Body Text Indent"/>
    <w:basedOn w:val="1"/>
    <w:next w:val="1"/>
    <w:qFormat/>
    <w:uiPriority w:val="0"/>
    <w:pPr>
      <w:keepNext/>
      <w:widowControl w:val="0"/>
      <w:spacing w:line="360" w:lineRule="auto"/>
    </w:pPr>
    <w:rPr>
      <w:rFonts w:eastAsia="宋体"/>
      <w:sz w:val="24"/>
    </w:rPr>
  </w:style>
  <w:style w:type="paragraph" w:styleId="6">
    <w:name w:val="Body Text"/>
    <w:basedOn w:val="1"/>
    <w:qFormat/>
    <w:uiPriority w:val="0"/>
    <w:pPr>
      <w:spacing w:after="120" w:afterLines="0" w:afterAutospacing="0"/>
    </w:pPr>
  </w:style>
  <w:style w:type="paragraph" w:styleId="7">
    <w:name w:val="Plain Text"/>
    <w:basedOn w:val="1"/>
    <w:qFormat/>
    <w:uiPriority w:val="0"/>
    <w:rPr>
      <w:rFonts w:ascii="宋体" w:hAnsi="Lucida Console" w:eastAsia="仿宋_GB2312"/>
      <w:sz w:val="24"/>
    </w:rPr>
  </w:style>
  <w:style w:type="paragraph" w:styleId="8">
    <w:name w:val="Body Text Indent 2"/>
    <w:basedOn w:val="1"/>
    <w:next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next w:val="11"/>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样式5"/>
    <w:basedOn w:val="12"/>
    <w:qFormat/>
    <w:uiPriority w:val="0"/>
    <w:pPr>
      <w:snapToGrid w:val="0"/>
      <w:spacing w:line="360" w:lineRule="auto"/>
      <w:ind w:firstLine="510"/>
    </w:pPr>
    <w:rPr>
      <w:sz w:val="24"/>
    </w:rPr>
  </w:style>
  <w:style w:type="paragraph" w:customStyle="1" w:styleId="12">
    <w:name w:val="正文1"/>
    <w:basedOn w:val="1"/>
    <w:next w:val="1"/>
    <w:qFormat/>
    <w:uiPriority w:val="0"/>
    <w:pPr>
      <w:adjustRightInd w:val="0"/>
      <w:spacing w:line="360" w:lineRule="auto"/>
      <w:jc w:val="center"/>
      <w:textAlignment w:val="baseline"/>
    </w:pPr>
    <w:rPr>
      <w:kern w:val="0"/>
      <w:sz w:val="28"/>
      <w:szCs w:val="20"/>
    </w:rPr>
  </w:style>
  <w:style w:type="paragraph" w:customStyle="1" w:styleId="15">
    <w:name w:val="样式 正文缩进正文缩进2正文缩进 Char Char正文缩进 Char Char Char Char正文缩进 Char ..."/>
    <w:basedOn w:val="2"/>
    <w:qFormat/>
    <w:uiPriority w:val="0"/>
    <w:pPr>
      <w:spacing w:line="360" w:lineRule="auto"/>
      <w:ind w:firstLine="200"/>
    </w:pPr>
    <w:rPr>
      <w:rFonts w:cs="宋体"/>
      <w:sz w:val="24"/>
    </w:rPr>
  </w:style>
  <w:style w:type="paragraph" w:customStyle="1" w:styleId="1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1961</Words>
  <Characters>2070</Characters>
  <Lines>0</Lines>
  <Paragraphs>0</Paragraphs>
  <TotalTime>27</TotalTime>
  <ScaleCrop>false</ScaleCrop>
  <LinksUpToDate>false</LinksUpToDate>
  <CharactersWithSpaces>2104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2023-02-07T02:42:00Z</cp:lastPrinted>
  <dcterms:modified xsi:type="dcterms:W3CDTF">2023-05-22T08:42:37Z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41ECE8C4D01A47639882D15DD8BEA63B_13</vt:lpwstr>
  </property>
</Properties>
</file>